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Dyscalculie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Activité 1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La difficulté de passer d’un langage à un autre</w:t>
      </w:r>
    </w:p>
    <w:p w:rsidR="003A03D1" w:rsidRDefault="003A03D1">
      <w:pPr>
        <w:rPr>
          <w:rFonts w:ascii="Luciole" w:hAnsi="Luciole"/>
        </w:rPr>
      </w:pPr>
    </w:p>
    <w:p w:rsidR="003D1E90" w:rsidRDefault="003D1E90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Nombre de stagiaires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1 ou 2</w:t>
      </w:r>
    </w:p>
    <w:p w:rsidR="003D1E90" w:rsidRDefault="003D1E90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Durée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5 à 10 min.</w:t>
      </w:r>
      <w:bookmarkStart w:id="0" w:name="_GoBack"/>
      <w:bookmarkEnd w:id="0"/>
    </w:p>
    <w:p w:rsidR="003D1E90" w:rsidRDefault="003D1E90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Objectifs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faire comprendre à l’enseignant qu’il est parfois difficile de traduire certains langages pour les rendre intelligibles. </w:t>
      </w:r>
    </w:p>
    <w:p w:rsidR="003D1E90" w:rsidRDefault="003D1E90">
      <w:pPr>
        <w:rPr>
          <w:rFonts w:ascii="Luciole" w:hAnsi="Luciole"/>
        </w:rPr>
      </w:pPr>
      <w:r>
        <w:rPr>
          <w:rFonts w:ascii="Luciole" w:hAnsi="Luciole"/>
        </w:rPr>
        <w:t>Le but est de comprendre que les dyscalculiques ont énormément de mal à traduire ce que signifie un énoncé. Il faut comprendre aussi que ça n’est pas impossible mais que c’est très long et que ça nécessite énormément de concentration</w:t>
      </w:r>
      <w:r>
        <w:rPr>
          <w:rFonts w:ascii="Luciole" w:hAnsi="Luciole"/>
        </w:rPr>
        <w:t>, d’où la grande fatigabilité d’un dyscalculique et une certaine lenteur.</w:t>
      </w:r>
    </w:p>
    <w:p w:rsidR="003D1E90" w:rsidRPr="003A03D1" w:rsidRDefault="003D1E90">
      <w:pPr>
        <w:rPr>
          <w:rFonts w:ascii="Luciole" w:hAnsi="Luciole"/>
        </w:rPr>
      </w:pPr>
    </w:p>
    <w:p w:rsidR="003A03D1" w:rsidRPr="003A03D1" w:rsidRDefault="003A03D1">
      <w:pPr>
        <w:rPr>
          <w:rFonts w:ascii="Luciole" w:hAnsi="Luciole"/>
        </w:rPr>
      </w:pPr>
      <w:r w:rsidRPr="003A03D1">
        <w:rPr>
          <w:rFonts w:ascii="Luciole" w:hAnsi="Luciole"/>
        </w:rPr>
        <w:t>La phrase à lire et à utiliser</w:t>
      </w:r>
      <w:r w:rsidRPr="003A03D1">
        <w:rPr>
          <w:rFonts w:ascii="Calibri" w:hAnsi="Calibri" w:cs="Calibri"/>
        </w:rPr>
        <w:t> </w:t>
      </w:r>
      <w:r w:rsidRPr="003A03D1">
        <w:rPr>
          <w:rFonts w:ascii="Luciole" w:hAnsi="Lucio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A03D1" w:rsidRPr="003A03D1" w:rsidTr="003A03D1">
        <w:trPr>
          <w:trHeight w:val="3368"/>
        </w:trPr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Phrase 1</w:t>
            </w:r>
          </w:p>
        </w:tc>
        <w:tc>
          <w:tcPr>
            <w:tcW w:w="6940" w:type="dxa"/>
          </w:tcPr>
          <w:p w:rsidR="003A03D1" w:rsidRPr="003A03D1" w:rsidRDefault="003A03D1" w:rsidP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Donner le résultat de la différence entre la somme de trois et de dix et la différence entre huit et deux. Faire le produit de 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la somme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résultat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avec trois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par la somme de quatre et neuf.</w:t>
            </w:r>
          </w:p>
          <w:p w:rsidR="003A03D1" w:rsidRPr="003A03D1" w:rsidRDefault="003A03D1" w:rsidP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Effectuer ensuite le quotient du dernier résultat obtenu par le premier.</w:t>
            </w:r>
          </w:p>
          <w:p w:rsidR="003A03D1" w:rsidRPr="003A03D1" w:rsidRDefault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Donner le dernier résultat à un chiffre après la virgule arrondi par 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défaut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Solution</w:t>
            </w:r>
          </w:p>
        </w:tc>
        <w:tc>
          <w:tcPr>
            <w:tcW w:w="6940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Premier calcul</w:t>
            </w:r>
            <w:r w:rsidRPr="003A03D1">
              <w:rPr>
                <w:rFonts w:ascii="Calibri" w:hAnsi="Calibri" w:cs="Calibri"/>
              </w:rPr>
              <w:t> </w:t>
            </w:r>
            <w:r w:rsidRPr="003A03D1">
              <w:rPr>
                <w:rFonts w:ascii="Luciole" w:hAnsi="Luciole"/>
              </w:rPr>
              <w:t>: (10+</w:t>
            </w:r>
            <w:proofErr w:type="gramStart"/>
            <w:r w:rsidRPr="003A03D1">
              <w:rPr>
                <w:rFonts w:ascii="Luciole" w:hAnsi="Luciole"/>
              </w:rPr>
              <w:t>3)-(</w:t>
            </w:r>
            <w:proofErr w:type="gramEnd"/>
            <w:r w:rsidRPr="003A03D1">
              <w:rPr>
                <w:rFonts w:ascii="Luciole" w:hAnsi="Luciole"/>
              </w:rPr>
              <w:t>8-2)=7</w:t>
            </w:r>
          </w:p>
          <w:p w:rsid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Deuxième calcul</w:t>
            </w:r>
            <w:r w:rsidRPr="003A03D1">
              <w:rPr>
                <w:rFonts w:ascii="Calibri" w:hAnsi="Calibri" w:cs="Calibri"/>
              </w:rPr>
              <w:t> </w:t>
            </w:r>
            <w:r w:rsidRPr="003A03D1">
              <w:rPr>
                <w:rFonts w:ascii="Luciole" w:hAnsi="Luciole"/>
              </w:rPr>
              <w:t xml:space="preserve">: </w:t>
            </w:r>
            <w:r>
              <w:rPr>
                <w:rFonts w:ascii="Luciole" w:hAnsi="Luciole"/>
              </w:rPr>
              <w:t>(7+</w:t>
            </w:r>
            <w:proofErr w:type="gramStart"/>
            <w:r>
              <w:rPr>
                <w:rFonts w:ascii="Luciole" w:hAnsi="Luciole"/>
              </w:rPr>
              <w:t>3)×</w:t>
            </w:r>
            <w:proofErr w:type="gramEnd"/>
            <w:r>
              <w:rPr>
                <w:rFonts w:ascii="Luciole" w:hAnsi="Luciole"/>
              </w:rPr>
              <w:t>(4+9)=130</w:t>
            </w:r>
          </w:p>
          <w:p w:rsidR="003A03D1" w:rsidRPr="003A03D1" w:rsidRDefault="003A03D1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Troisième calcul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Luciole" w:hAnsi="Luciole"/>
              </w:rPr>
              <w:t>: 130/7=18,5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Phrase 2</w:t>
            </w:r>
          </w:p>
        </w:tc>
        <w:tc>
          <w:tcPr>
            <w:tcW w:w="6940" w:type="dxa"/>
          </w:tcPr>
          <w:p w:rsidR="003A03D1" w:rsidRDefault="007077AC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Le moment d’inertie d’une boule par rapport à un de ses diamètre égal aux deux cinquièmes du produit de sa masse en kilogrammes par le carré de son rayon en mètres.</w:t>
            </w:r>
          </w:p>
          <w:p w:rsidR="007077AC" w:rsidRPr="003A03D1" w:rsidRDefault="007077AC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 xml:space="preserve">Sachant qu’une boule pèse 20 grammes et que son moment d’inertie </w:t>
            </w:r>
            <w:r w:rsidR="00D70901">
              <w:rPr>
                <w:rFonts w:ascii="Luciole" w:hAnsi="Luciole"/>
              </w:rPr>
              <w:t>vaut un centième de l’unité usuelle, déterminer la valeur de son rayon en centimètres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Solution</w:t>
            </w:r>
          </w:p>
        </w:tc>
        <w:tc>
          <w:tcPr>
            <w:tcW w:w="6940" w:type="dxa"/>
          </w:tcPr>
          <w:p w:rsidR="003A03D1" w:rsidRPr="003A03D1" w:rsidRDefault="00D70901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On s’amuse…</w:t>
            </w:r>
          </w:p>
        </w:tc>
      </w:tr>
    </w:tbl>
    <w:p w:rsidR="003D1E90" w:rsidRDefault="003D1E90">
      <w:pPr>
        <w:rPr>
          <w:rFonts w:ascii="Luciole" w:hAnsi="Luciole"/>
        </w:rPr>
      </w:pPr>
    </w:p>
    <w:p w:rsidR="007077AC" w:rsidRDefault="007077AC">
      <w:pPr>
        <w:rPr>
          <w:rFonts w:ascii="Luciole" w:hAnsi="Luciole"/>
        </w:rPr>
      </w:pPr>
      <w:r>
        <w:rPr>
          <w:rFonts w:ascii="Luciole" w:hAnsi="Luciole"/>
        </w:rPr>
        <w:lastRenderedPageBreak/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7077AC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Lecture</w:t>
      </w:r>
    </w:p>
    <w:p w:rsidR="007077AC" w:rsidRDefault="007077AC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Compréhension des consignes</w:t>
      </w:r>
    </w:p>
    <w:p w:rsidR="00D70901" w:rsidRDefault="00D70901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Traduction en calculs habituels.</w:t>
      </w:r>
    </w:p>
    <w:p w:rsidR="00D70901" w:rsidRPr="007077AC" w:rsidRDefault="00D70901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Le calcul en lui-même.</w:t>
      </w:r>
    </w:p>
    <w:p w:rsidR="007077AC" w:rsidRDefault="007077AC">
      <w:pPr>
        <w:rPr>
          <w:rFonts w:ascii="Luciole" w:hAnsi="Luciole"/>
        </w:rPr>
      </w:pPr>
      <w:r>
        <w:rPr>
          <w:rFonts w:ascii="Luciole" w:hAnsi="Luciole"/>
        </w:rPr>
        <w:t>Solutions possibles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Détailler l’énoncé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Reformuler l’énoncé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Simplifier les étapes</w:t>
      </w:r>
    </w:p>
    <w:p w:rsidR="007077AC" w:rsidRP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Laisser le temps à l’élève de traduire l’énoncé</w:t>
      </w:r>
    </w:p>
    <w:sectPr w:rsidR="007077AC" w:rsidRPr="0070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3D1E90"/>
    <w:rsid w:val="007077AC"/>
    <w:rsid w:val="00D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B70B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2</cp:revision>
  <dcterms:created xsi:type="dcterms:W3CDTF">2019-12-29T08:55:00Z</dcterms:created>
  <dcterms:modified xsi:type="dcterms:W3CDTF">2019-12-30T07:33:00Z</dcterms:modified>
</cp:coreProperties>
</file>