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17"/>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993"/>
        <w:gridCol w:w="6236"/>
      </w:tblGrid>
      <w:tr w:rsidR="00B02C1B" w:rsidRPr="004B067F" w14:paraId="3C0BA969" w14:textId="77777777" w:rsidTr="00B02C1B">
        <w:trPr>
          <w:trHeight w:val="416"/>
        </w:trPr>
        <w:tc>
          <w:tcPr>
            <w:tcW w:w="822" w:type="dxa"/>
            <w:shd w:val="clear" w:color="auto" w:fill="auto"/>
            <w:vAlign w:val="center"/>
          </w:tcPr>
          <w:p w14:paraId="0828CA8E" w14:textId="3F29B013" w:rsidR="00B02C1B" w:rsidRPr="004B067F" w:rsidRDefault="00B02C1B" w:rsidP="00946FE7">
            <w:pPr>
              <w:jc w:val="center"/>
              <w:rPr>
                <w:rFonts w:cstheme="minorHAnsi"/>
                <w:b/>
                <w:sz w:val="36"/>
                <w:szCs w:val="36"/>
              </w:rPr>
            </w:pPr>
          </w:p>
        </w:tc>
        <w:tc>
          <w:tcPr>
            <w:tcW w:w="10229" w:type="dxa"/>
            <w:gridSpan w:val="2"/>
            <w:shd w:val="clear" w:color="auto" w:fill="auto"/>
            <w:vAlign w:val="center"/>
          </w:tcPr>
          <w:p w14:paraId="1FEF57E5" w14:textId="23E5BBA6" w:rsidR="00DF79D0" w:rsidRPr="00D35F35" w:rsidRDefault="00716C4A" w:rsidP="00D35F35">
            <w:pPr>
              <w:spacing w:after="0"/>
              <w:jc w:val="center"/>
              <w:rPr>
                <w:rFonts w:ascii="Arial" w:hAnsi="Arial" w:cs="Arial"/>
                <w:b/>
                <w:bCs/>
                <w:sz w:val="30"/>
                <w:szCs w:val="30"/>
              </w:rPr>
            </w:pPr>
            <w:r w:rsidRPr="00D35F35">
              <w:rPr>
                <w:rFonts w:ascii="Arial" w:hAnsi="Arial" w:cs="Arial"/>
                <w:b/>
                <w:bCs/>
                <w:sz w:val="30"/>
                <w:szCs w:val="30"/>
              </w:rPr>
              <w:t>Les anticorps monoclonaux, un traitement possible contre les formes sévères d</w:t>
            </w:r>
            <w:r w:rsidR="00960EFE" w:rsidRPr="00D35F35">
              <w:rPr>
                <w:rFonts w:ascii="Arial" w:hAnsi="Arial" w:cs="Arial"/>
                <w:b/>
                <w:bCs/>
                <w:sz w:val="30"/>
                <w:szCs w:val="30"/>
              </w:rPr>
              <w:t>’une infection</w:t>
            </w:r>
          </w:p>
        </w:tc>
      </w:tr>
      <w:tr w:rsidR="00B02C1B" w:rsidRPr="004B067F" w14:paraId="039CD447" w14:textId="77777777" w:rsidTr="002309C9">
        <w:trPr>
          <w:trHeight w:val="522"/>
        </w:trPr>
        <w:tc>
          <w:tcPr>
            <w:tcW w:w="4815" w:type="dxa"/>
            <w:gridSpan w:val="2"/>
            <w:shd w:val="clear" w:color="auto" w:fill="D9D9D9"/>
          </w:tcPr>
          <w:p w14:paraId="266EE3FC" w14:textId="5E9C8954" w:rsidR="00B02C1B" w:rsidRPr="006F69DF" w:rsidRDefault="00B02C1B" w:rsidP="00D35F35">
            <w:pPr>
              <w:spacing w:after="0"/>
              <w:jc w:val="both"/>
              <w:rPr>
                <w:rFonts w:cstheme="minorHAnsi"/>
                <w:b/>
                <w:u w:val="single"/>
              </w:rPr>
            </w:pPr>
            <w:r w:rsidRPr="004B067F">
              <w:rPr>
                <w:rFonts w:cstheme="minorHAnsi"/>
                <w:b/>
                <w:u w:val="single"/>
              </w:rPr>
              <w:t>Objectifs :</w:t>
            </w:r>
            <w:r w:rsidRPr="00D35F35">
              <w:rPr>
                <w:rFonts w:cstheme="minorHAnsi"/>
                <w:bCs/>
              </w:rPr>
              <w:t xml:space="preserve"> </w:t>
            </w:r>
            <w:r w:rsidR="006F69DF" w:rsidRPr="00D35F35">
              <w:rPr>
                <w:rFonts w:cstheme="minorHAnsi"/>
                <w:bCs/>
              </w:rPr>
              <w:t xml:space="preserve"> </w:t>
            </w:r>
            <w:r w:rsidR="009B483B" w:rsidRPr="00D35F35">
              <w:rPr>
                <w:rFonts w:cstheme="minorHAnsi"/>
                <w:bCs/>
              </w:rPr>
              <w:t>comprendre l’intérêt du développement de procédés d’immunothérapie</w:t>
            </w:r>
            <w:r w:rsidR="009B483B">
              <w:rPr>
                <w:rFonts w:cstheme="minorHAnsi"/>
                <w:b/>
              </w:rPr>
              <w:t xml:space="preserve"> </w:t>
            </w:r>
          </w:p>
        </w:tc>
        <w:tc>
          <w:tcPr>
            <w:tcW w:w="6236" w:type="dxa"/>
            <w:shd w:val="clear" w:color="auto" w:fill="D9D9D9"/>
          </w:tcPr>
          <w:p w14:paraId="047BDFFB" w14:textId="77777777" w:rsidR="00D35F35" w:rsidRDefault="00B02C1B" w:rsidP="00D35F35">
            <w:pPr>
              <w:spacing w:after="0" w:line="240" w:lineRule="auto"/>
              <w:rPr>
                <w:rFonts w:cstheme="minorHAnsi"/>
                <w:b/>
                <w:u w:val="single"/>
              </w:rPr>
            </w:pPr>
            <w:r w:rsidRPr="004B067F">
              <w:rPr>
                <w:rFonts w:cstheme="minorHAnsi"/>
                <w:b/>
                <w:u w:val="single"/>
              </w:rPr>
              <w:t>C</w:t>
            </w:r>
            <w:r>
              <w:rPr>
                <w:rFonts w:cstheme="minorHAnsi"/>
                <w:b/>
                <w:u w:val="single"/>
              </w:rPr>
              <w:t>ompétences</w:t>
            </w:r>
            <w:r w:rsidRPr="004B067F">
              <w:rPr>
                <w:rFonts w:cstheme="minorHAnsi"/>
                <w:b/>
                <w:u w:val="single"/>
              </w:rPr>
              <w:t> :</w:t>
            </w:r>
            <w:r w:rsidR="009B483B">
              <w:rPr>
                <w:rFonts w:cstheme="minorHAnsi"/>
                <w:b/>
                <w:u w:val="single"/>
              </w:rPr>
              <w:t xml:space="preserve"> </w:t>
            </w:r>
          </w:p>
          <w:p w14:paraId="1CECBA81" w14:textId="165ADF74" w:rsidR="00D35F35" w:rsidRPr="002309C9" w:rsidRDefault="00D35F35" w:rsidP="00D35F35">
            <w:pPr>
              <w:spacing w:after="0" w:line="240" w:lineRule="auto"/>
              <w:rPr>
                <w:rFonts w:cstheme="minorHAnsi"/>
                <w:bCs/>
              </w:rPr>
            </w:pPr>
            <w:r w:rsidRPr="002309C9">
              <w:rPr>
                <w:rFonts w:cstheme="minorHAnsi"/>
                <w:bCs/>
              </w:rPr>
              <w:t>U</w:t>
            </w:r>
            <w:r w:rsidR="009B483B" w:rsidRPr="002309C9">
              <w:rPr>
                <w:rFonts w:cstheme="minorHAnsi"/>
                <w:bCs/>
              </w:rPr>
              <w:t>tiliser des outils et mobiliser des méthodes pour apprendre</w:t>
            </w:r>
          </w:p>
          <w:p w14:paraId="61D6AC4C" w14:textId="7F1EF31A" w:rsidR="001139FB" w:rsidRPr="002432F0" w:rsidRDefault="00D35F35" w:rsidP="00D35F35">
            <w:pPr>
              <w:spacing w:after="0" w:line="240" w:lineRule="auto"/>
              <w:rPr>
                <w:rFonts w:cstheme="minorHAnsi"/>
                <w:b/>
              </w:rPr>
            </w:pPr>
            <w:r w:rsidRPr="002309C9">
              <w:rPr>
                <w:rFonts w:cstheme="minorHAnsi"/>
                <w:bCs/>
              </w:rPr>
              <w:t>P</w:t>
            </w:r>
            <w:r w:rsidR="002432F0" w:rsidRPr="002309C9">
              <w:rPr>
                <w:rFonts w:cstheme="minorHAnsi"/>
                <w:bCs/>
              </w:rPr>
              <w:t>ratiquer des langages</w:t>
            </w:r>
          </w:p>
        </w:tc>
      </w:tr>
    </w:tbl>
    <w:p w14:paraId="5463282F" w14:textId="51AF265B" w:rsidR="009B483B" w:rsidRPr="000845CF" w:rsidRDefault="00D35F35" w:rsidP="000E5675">
      <w:pPr>
        <w:spacing w:before="120" w:after="0"/>
        <w:jc w:val="both"/>
        <w:rPr>
          <w:rStyle w:val="lev"/>
          <w:b w:val="0"/>
          <w:bCs w:val="0"/>
          <w:color w:val="000000"/>
        </w:rPr>
      </w:pPr>
      <w:r w:rsidRPr="004B067F">
        <w:rPr>
          <w:rFonts w:cstheme="minorHAnsi"/>
          <w:noProof/>
        </w:rPr>
        <mc:AlternateContent>
          <mc:Choice Requires="wps">
            <w:drawing>
              <wp:anchor distT="0" distB="0" distL="114300" distR="114300" simplePos="0" relativeHeight="251673600" behindDoc="0" locked="0" layoutInCell="1" allowOverlap="1" wp14:anchorId="4A63DF6D" wp14:editId="7FBDD553">
                <wp:simplePos x="0" y="0"/>
                <wp:positionH relativeFrom="margin">
                  <wp:posOffset>-93345</wp:posOffset>
                </wp:positionH>
                <wp:positionV relativeFrom="paragraph">
                  <wp:posOffset>963930</wp:posOffset>
                </wp:positionV>
                <wp:extent cx="7029450" cy="2085975"/>
                <wp:effectExtent l="0" t="0" r="19050" b="28575"/>
                <wp:wrapSquare wrapText="bothSides"/>
                <wp:docPr id="41" name="Zone de texte 41"/>
                <wp:cNvGraphicFramePr/>
                <a:graphic xmlns:a="http://schemas.openxmlformats.org/drawingml/2006/main">
                  <a:graphicData uri="http://schemas.microsoft.com/office/word/2010/wordprocessingShape">
                    <wps:wsp>
                      <wps:cNvSpPr txBox="1"/>
                      <wps:spPr>
                        <a:xfrm>
                          <a:off x="0" y="0"/>
                          <a:ext cx="7029450" cy="2085975"/>
                        </a:xfrm>
                        <a:prstGeom prst="rect">
                          <a:avLst/>
                        </a:prstGeom>
                        <a:solidFill>
                          <a:schemeClr val="bg1">
                            <a:lumMod val="85000"/>
                          </a:schemeClr>
                        </a:solidFill>
                        <a:ln w="6350">
                          <a:solidFill>
                            <a:schemeClr val="tx1"/>
                          </a:solidFill>
                        </a:ln>
                      </wps:spPr>
                      <wps:txbx>
                        <w:txbxContent>
                          <w:p w14:paraId="36B2229C" w14:textId="77777777" w:rsidR="000E5675" w:rsidRDefault="000E5675" w:rsidP="000E5675">
                            <w:pPr>
                              <w:spacing w:after="0"/>
                              <w:jc w:val="both"/>
                            </w:pPr>
                            <w:r>
                              <w:t xml:space="preserve">L’immunothérapie, qui propose des traitements de stimulation du système immunitaire pour lutter contre une maladie, est en plein développement. C’est en particulier l’une des voies de recherches actuelles dans la lutte contre le cancer mais également contre le Covid. </w:t>
                            </w:r>
                          </w:p>
                          <w:p w14:paraId="64F11202" w14:textId="4B933878" w:rsidR="0079091C" w:rsidRPr="0093660B" w:rsidRDefault="0093660B" w:rsidP="000E5675">
                            <w:pPr>
                              <w:spacing w:after="0"/>
                              <w:jc w:val="both"/>
                              <w:rPr>
                                <w:rFonts w:cstheme="minorHAnsi"/>
                              </w:rPr>
                            </w:pPr>
                            <w:r w:rsidRPr="0093660B">
                              <w:rPr>
                                <w:rFonts w:cstheme="minorHAnsi"/>
                              </w:rPr>
                              <w:t xml:space="preserve">Le </w:t>
                            </w:r>
                            <w:r w:rsidR="00716C4A" w:rsidRPr="0093660B">
                              <w:rPr>
                                <w:rFonts w:cstheme="minorHAnsi"/>
                              </w:rPr>
                              <w:t xml:space="preserve">passage à la forme sévère de coronavirus s’accompagne souvent de l’activation d’un grand nombre de </w:t>
                            </w:r>
                            <w:proofErr w:type="gramStart"/>
                            <w:r w:rsidR="00716C4A" w:rsidRPr="0093660B">
                              <w:rPr>
                                <w:rFonts w:cstheme="minorHAnsi"/>
                              </w:rPr>
                              <w:t>leucoc</w:t>
                            </w:r>
                            <w:r w:rsidRPr="0093660B">
                              <w:rPr>
                                <w:rFonts w:cstheme="minorHAnsi"/>
                              </w:rPr>
                              <w:t>y</w:t>
                            </w:r>
                            <w:r w:rsidR="00716C4A" w:rsidRPr="0093660B">
                              <w:rPr>
                                <w:rFonts w:cstheme="minorHAnsi"/>
                              </w:rPr>
                              <w:t xml:space="preserve">tes </w:t>
                            </w:r>
                            <w:r w:rsidR="000348A8">
                              <w:rPr>
                                <w:rFonts w:cstheme="minorHAnsi"/>
                              </w:rPr>
                              <w:t xml:space="preserve"> (</w:t>
                            </w:r>
                            <w:proofErr w:type="gramEnd"/>
                            <w:r w:rsidR="000348A8">
                              <w:rPr>
                                <w:rFonts w:cstheme="minorHAnsi"/>
                              </w:rPr>
                              <w:t xml:space="preserve">globules blancs) </w:t>
                            </w:r>
                            <w:r w:rsidR="00716C4A" w:rsidRPr="0093660B">
                              <w:rPr>
                                <w:rFonts w:cstheme="minorHAnsi"/>
                              </w:rPr>
                              <w:t>entraînant la libération incontrôlée d</w:t>
                            </w:r>
                            <w:r w:rsidRPr="0093660B">
                              <w:rPr>
                                <w:rFonts w:cstheme="minorHAnsi"/>
                              </w:rPr>
                              <w:t>’interleukines</w:t>
                            </w:r>
                            <w:r w:rsidR="000348A8">
                              <w:rPr>
                                <w:rFonts w:cstheme="minorHAnsi"/>
                              </w:rPr>
                              <w:t xml:space="preserve"> (une catégorie de c</w:t>
                            </w:r>
                            <w:r w:rsidR="00EA6D6B">
                              <w:rPr>
                                <w:rFonts w:cstheme="minorHAnsi"/>
                              </w:rPr>
                              <w:t>y</w:t>
                            </w:r>
                            <w:r w:rsidR="000348A8">
                              <w:rPr>
                                <w:rFonts w:cstheme="minorHAnsi"/>
                              </w:rPr>
                              <w:t>tokines)</w:t>
                            </w:r>
                            <w:r w:rsidRPr="0093660B">
                              <w:rPr>
                                <w:rFonts w:cstheme="minorHAnsi"/>
                              </w:rPr>
                              <w:t xml:space="preserve">, molécules qui orchestrent le fonctionnement du système immunitaire. On parle de « tempête cytokinique » à l’origine d’une </w:t>
                            </w:r>
                            <w:proofErr w:type="spellStart"/>
                            <w:r w:rsidRPr="0093660B">
                              <w:rPr>
                                <w:rFonts w:cstheme="minorHAnsi"/>
                              </w:rPr>
                              <w:t>hyperinflammation</w:t>
                            </w:r>
                            <w:proofErr w:type="spellEnd"/>
                            <w:r w:rsidRPr="0093660B">
                              <w:rPr>
                                <w:rFonts w:cstheme="minorHAnsi"/>
                              </w:rPr>
                              <w:t xml:space="preserve">. </w:t>
                            </w:r>
                            <w:r w:rsidR="002432F0">
                              <w:rPr>
                                <w:rFonts w:cstheme="minorHAnsi"/>
                              </w:rPr>
                              <w:t xml:space="preserve">Très vite, un traitement </w:t>
                            </w:r>
                            <w:r w:rsidR="000348A8">
                              <w:rPr>
                                <w:rFonts w:cstheme="minorHAnsi"/>
                              </w:rPr>
                              <w:t>par</w:t>
                            </w:r>
                            <w:r w:rsidR="002432F0">
                              <w:rPr>
                                <w:rFonts w:cstheme="minorHAnsi"/>
                              </w:rPr>
                              <w:t xml:space="preserve"> l</w:t>
                            </w:r>
                            <w:r w:rsidRPr="0093660B">
                              <w:rPr>
                                <w:rFonts w:cstheme="minorHAnsi"/>
                              </w:rPr>
                              <w:t xml:space="preserve">e </w:t>
                            </w:r>
                            <w:proofErr w:type="spellStart"/>
                            <w:r w:rsidR="000348A8">
                              <w:rPr>
                                <w:rFonts w:cstheme="minorHAnsi"/>
                              </w:rPr>
                              <w:t>T</w:t>
                            </w:r>
                            <w:r w:rsidRPr="0093660B">
                              <w:rPr>
                                <w:rFonts w:cstheme="minorHAnsi"/>
                              </w:rPr>
                              <w:t>ocilizurmab</w:t>
                            </w:r>
                            <w:proofErr w:type="spellEnd"/>
                            <w:r w:rsidR="002432F0">
                              <w:rPr>
                                <w:rFonts w:cstheme="minorHAnsi"/>
                              </w:rPr>
                              <w:t xml:space="preserve">, </w:t>
                            </w:r>
                            <w:r w:rsidRPr="0093660B">
                              <w:rPr>
                                <w:rFonts w:cstheme="minorHAnsi"/>
                              </w:rPr>
                              <w:t>un anticorps monoclonal</w:t>
                            </w:r>
                            <w:r w:rsidR="00BB0067">
                              <w:rPr>
                                <w:rFonts w:cstheme="minorHAnsi"/>
                              </w:rPr>
                              <w:t xml:space="preserve"> (issue d’un même clone de lymphocytes B activés puis différencié en plasmocytes</w:t>
                            </w:r>
                            <w:r w:rsidR="009D3A42">
                              <w:rPr>
                                <w:rFonts w:cstheme="minorHAnsi"/>
                              </w:rPr>
                              <w:t xml:space="preserve"> qui sont spécifiques au même antigène</w:t>
                            </w:r>
                            <w:r w:rsidR="00BB0067">
                              <w:rPr>
                                <w:rFonts w:cstheme="minorHAnsi"/>
                              </w:rPr>
                              <w:t>)</w:t>
                            </w:r>
                            <w:r w:rsidR="002432F0">
                              <w:rPr>
                                <w:rFonts w:cstheme="minorHAnsi"/>
                              </w:rPr>
                              <w:t xml:space="preserve">, a fait l’objet d’essais cliniques sur </w:t>
                            </w:r>
                            <w:r w:rsidRPr="0093660B">
                              <w:rPr>
                                <w:rFonts w:cstheme="minorHAnsi"/>
                              </w:rPr>
                              <w:t>des patients infectés par le SARS-CoV-2.</w:t>
                            </w:r>
                          </w:p>
                          <w:p w14:paraId="679CE657" w14:textId="60D1DDC4" w:rsidR="0093660B" w:rsidRDefault="0093660B" w:rsidP="0079091C">
                            <w:pPr>
                              <w:jc w:val="both"/>
                              <w:rPr>
                                <w:rFonts w:cstheme="minorHAnsi"/>
                                <w:b/>
                                <w:bCs/>
                              </w:rPr>
                            </w:pPr>
                            <w:r>
                              <w:rPr>
                                <w:rFonts w:cstheme="minorHAnsi"/>
                                <w:b/>
                                <w:bCs/>
                              </w:rPr>
                              <w:t>On cherche à expliquer comment pourraient agir les anticorps monoclonaux chez les patients atteints sévèrement par le SARS-Cov-2</w:t>
                            </w:r>
                            <w:r w:rsidR="002432F0">
                              <w:rPr>
                                <w:rFonts w:cstheme="minorHAnsi"/>
                                <w:b/>
                                <w:bCs/>
                              </w:rPr>
                              <w:t>.</w:t>
                            </w:r>
                          </w:p>
                          <w:p w14:paraId="7912DE2B" w14:textId="77777777" w:rsidR="0093660B" w:rsidRDefault="0093660B" w:rsidP="0079091C">
                            <w:pPr>
                              <w:jc w:val="both"/>
                              <w:rPr>
                                <w:rFonts w:cstheme="minorHAnsi"/>
                                <w:b/>
                                <w:bCs/>
                              </w:rPr>
                            </w:pPr>
                          </w:p>
                          <w:p w14:paraId="23FC66D0" w14:textId="059B0BD9" w:rsidR="00716C4A" w:rsidRPr="004B067F" w:rsidRDefault="00716C4A" w:rsidP="0079091C">
                            <w:pPr>
                              <w:jc w:val="both"/>
                              <w:rPr>
                                <w:rFonts w:cstheme="min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3DF6D" id="_x0000_t202" coordsize="21600,21600" o:spt="202" path="m,l,21600r21600,l21600,xe">
                <v:stroke joinstyle="miter"/>
                <v:path gradientshapeok="t" o:connecttype="rect"/>
              </v:shapetype>
              <v:shape id="Zone de texte 41" o:spid="_x0000_s1026" type="#_x0000_t202" style="position:absolute;left:0;text-align:left;margin-left:-7.35pt;margin-top:75.9pt;width:553.5pt;height:16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" fillcolor="#d8d8d8 [2732]" strokecolor="black [3213]" strokeweight=".5pt">
                <v:textbox>
                  <w:txbxContent>
                    <w:p w14:paraId="36B2229C" w14:textId="77777777" w:rsidR="000E5675" w:rsidRDefault="000E5675" w:rsidP="000E5675">
                      <w:pPr>
                        <w:spacing w:after="0"/>
                        <w:jc w:val="both"/>
                      </w:pPr>
                      <w:r>
                        <w:t xml:space="preserve">L’immunothérapie, qui propose des traitements de stimulation du système immunitaire pour lutter contre une maladie, est en plein développement. C’est en particulier l’une des voies de recherches actuelles dans la lutte contre le cancer mais également contre le </w:t>
                      </w:r>
                      <w:proofErr w:type="spellStart"/>
                      <w:r>
                        <w:t>Covid</w:t>
                      </w:r>
                      <w:proofErr w:type="spellEnd"/>
                      <w:r>
                        <w:t xml:space="preserve">. </w:t>
                      </w:r>
                    </w:p>
                    <w:p w14:paraId="64F11202" w14:textId="4B933878" w:rsidR="0079091C" w:rsidRPr="0093660B" w:rsidRDefault="0093660B" w:rsidP="000E5675">
                      <w:pPr>
                        <w:spacing w:after="0"/>
                        <w:jc w:val="both"/>
                        <w:rPr>
                          <w:rFonts w:cstheme="minorHAnsi"/>
                        </w:rPr>
                      </w:pPr>
                      <w:r w:rsidRPr="0093660B">
                        <w:rPr>
                          <w:rFonts w:cstheme="minorHAnsi"/>
                        </w:rPr>
                        <w:t xml:space="preserve">Le </w:t>
                      </w:r>
                      <w:r w:rsidR="00716C4A" w:rsidRPr="0093660B">
                        <w:rPr>
                          <w:rFonts w:cstheme="minorHAnsi"/>
                        </w:rPr>
                        <w:t>passage à la forme sévère de coronavirus s’accompagne souvent de l’activation d’un grand nombre de leucoc</w:t>
                      </w:r>
                      <w:r w:rsidRPr="0093660B">
                        <w:rPr>
                          <w:rFonts w:cstheme="minorHAnsi"/>
                        </w:rPr>
                        <w:t>y</w:t>
                      </w:r>
                      <w:r w:rsidR="00716C4A" w:rsidRPr="0093660B">
                        <w:rPr>
                          <w:rFonts w:cstheme="minorHAnsi"/>
                        </w:rPr>
                        <w:t xml:space="preserve">tes </w:t>
                      </w:r>
                      <w:r w:rsidR="000348A8">
                        <w:rPr>
                          <w:rFonts w:cstheme="minorHAnsi"/>
                        </w:rPr>
                        <w:t xml:space="preserve"> (globules blancs) </w:t>
                      </w:r>
                      <w:r w:rsidR="00716C4A" w:rsidRPr="0093660B">
                        <w:rPr>
                          <w:rFonts w:cstheme="minorHAnsi"/>
                        </w:rPr>
                        <w:t>entraînant la libération incontrôlée d</w:t>
                      </w:r>
                      <w:r w:rsidRPr="0093660B">
                        <w:rPr>
                          <w:rFonts w:cstheme="minorHAnsi"/>
                        </w:rPr>
                        <w:t>’interleukines</w:t>
                      </w:r>
                      <w:r w:rsidR="000348A8">
                        <w:rPr>
                          <w:rFonts w:cstheme="minorHAnsi"/>
                        </w:rPr>
                        <w:t xml:space="preserve"> (une catégorie de c</w:t>
                      </w:r>
                      <w:r w:rsidR="00EA6D6B">
                        <w:rPr>
                          <w:rFonts w:cstheme="minorHAnsi"/>
                        </w:rPr>
                        <w:t>y</w:t>
                      </w:r>
                      <w:r w:rsidR="000348A8">
                        <w:rPr>
                          <w:rFonts w:cstheme="minorHAnsi"/>
                        </w:rPr>
                        <w:t>tokines)</w:t>
                      </w:r>
                      <w:r w:rsidRPr="0093660B">
                        <w:rPr>
                          <w:rFonts w:cstheme="minorHAnsi"/>
                        </w:rPr>
                        <w:t xml:space="preserve">, molécules qui orchestrent le fonctionnement du système immunitaire. On parle de « tempête cytokinique » à l’origine d’une </w:t>
                      </w:r>
                      <w:proofErr w:type="spellStart"/>
                      <w:r w:rsidRPr="0093660B">
                        <w:rPr>
                          <w:rFonts w:cstheme="minorHAnsi"/>
                        </w:rPr>
                        <w:t>hyperinflammation</w:t>
                      </w:r>
                      <w:proofErr w:type="spellEnd"/>
                      <w:r w:rsidRPr="0093660B">
                        <w:rPr>
                          <w:rFonts w:cstheme="minorHAnsi"/>
                        </w:rPr>
                        <w:t xml:space="preserve">. </w:t>
                      </w:r>
                      <w:r w:rsidR="002432F0">
                        <w:rPr>
                          <w:rFonts w:cstheme="minorHAnsi"/>
                        </w:rPr>
                        <w:t xml:space="preserve">Très vite, un traitement </w:t>
                      </w:r>
                      <w:r w:rsidR="000348A8">
                        <w:rPr>
                          <w:rFonts w:cstheme="minorHAnsi"/>
                        </w:rPr>
                        <w:t>par</w:t>
                      </w:r>
                      <w:r w:rsidR="002432F0">
                        <w:rPr>
                          <w:rFonts w:cstheme="minorHAnsi"/>
                        </w:rPr>
                        <w:t xml:space="preserve"> l</w:t>
                      </w:r>
                      <w:r w:rsidRPr="0093660B">
                        <w:rPr>
                          <w:rFonts w:cstheme="minorHAnsi"/>
                        </w:rPr>
                        <w:t xml:space="preserve">e </w:t>
                      </w:r>
                      <w:proofErr w:type="spellStart"/>
                      <w:r w:rsidR="000348A8">
                        <w:rPr>
                          <w:rFonts w:cstheme="minorHAnsi"/>
                        </w:rPr>
                        <w:t>T</w:t>
                      </w:r>
                      <w:r w:rsidRPr="0093660B">
                        <w:rPr>
                          <w:rFonts w:cstheme="minorHAnsi"/>
                        </w:rPr>
                        <w:t>ocilizurmab</w:t>
                      </w:r>
                      <w:proofErr w:type="spellEnd"/>
                      <w:r w:rsidR="002432F0">
                        <w:rPr>
                          <w:rFonts w:cstheme="minorHAnsi"/>
                        </w:rPr>
                        <w:t xml:space="preserve">, </w:t>
                      </w:r>
                      <w:r w:rsidRPr="0093660B">
                        <w:rPr>
                          <w:rFonts w:cstheme="minorHAnsi"/>
                        </w:rPr>
                        <w:t>un anticorps monoclonal</w:t>
                      </w:r>
                      <w:r w:rsidR="00BB0067">
                        <w:rPr>
                          <w:rFonts w:cstheme="minorHAnsi"/>
                        </w:rPr>
                        <w:t xml:space="preserve"> (issue d’un même clone de lymphocytes B activés puis différencié en plasmocytes</w:t>
                      </w:r>
                      <w:r w:rsidR="009D3A42">
                        <w:rPr>
                          <w:rFonts w:cstheme="minorHAnsi"/>
                        </w:rPr>
                        <w:t xml:space="preserve"> qui sont spécifiques au même antigène</w:t>
                      </w:r>
                      <w:r w:rsidR="00BB0067">
                        <w:rPr>
                          <w:rFonts w:cstheme="minorHAnsi"/>
                        </w:rPr>
                        <w:t>)</w:t>
                      </w:r>
                      <w:r w:rsidR="002432F0">
                        <w:rPr>
                          <w:rFonts w:cstheme="minorHAnsi"/>
                        </w:rPr>
                        <w:t xml:space="preserve">, a fait l’objet d’essais cliniques sur </w:t>
                      </w:r>
                      <w:r w:rsidRPr="0093660B">
                        <w:rPr>
                          <w:rFonts w:cstheme="minorHAnsi"/>
                        </w:rPr>
                        <w:t>des patients infectés par le SARS-CoV-2.</w:t>
                      </w:r>
                    </w:p>
                    <w:p w14:paraId="679CE657" w14:textId="60D1DDC4" w:rsidR="0093660B" w:rsidRDefault="0093660B" w:rsidP="0079091C">
                      <w:pPr>
                        <w:jc w:val="both"/>
                        <w:rPr>
                          <w:rFonts w:cstheme="minorHAnsi"/>
                          <w:b/>
                          <w:bCs/>
                        </w:rPr>
                      </w:pPr>
                      <w:r>
                        <w:rPr>
                          <w:rFonts w:cstheme="minorHAnsi"/>
                          <w:b/>
                          <w:bCs/>
                        </w:rPr>
                        <w:t>On cherche à expliquer comment pourraient agir les anticorps monoclonaux chez les patients atteints sévèrement par le SARS-Cov-2</w:t>
                      </w:r>
                      <w:r w:rsidR="002432F0">
                        <w:rPr>
                          <w:rFonts w:cstheme="minorHAnsi"/>
                          <w:b/>
                          <w:bCs/>
                        </w:rPr>
                        <w:t>.</w:t>
                      </w:r>
                    </w:p>
                    <w:p w14:paraId="7912DE2B" w14:textId="77777777" w:rsidR="0093660B" w:rsidRDefault="0093660B" w:rsidP="0079091C">
                      <w:pPr>
                        <w:jc w:val="both"/>
                        <w:rPr>
                          <w:rFonts w:cstheme="minorHAnsi"/>
                          <w:b/>
                          <w:bCs/>
                        </w:rPr>
                      </w:pPr>
                    </w:p>
                    <w:p w14:paraId="23FC66D0" w14:textId="059B0BD9" w:rsidR="00716C4A" w:rsidRPr="004B067F" w:rsidRDefault="00716C4A" w:rsidP="0079091C">
                      <w:pPr>
                        <w:jc w:val="both"/>
                        <w:rPr>
                          <w:rFonts w:cstheme="minorHAnsi"/>
                          <w:b/>
                          <w:bCs/>
                        </w:rPr>
                      </w:pPr>
                    </w:p>
                  </w:txbxContent>
                </v:textbox>
                <w10:wrap type="square" anchorx="margin"/>
              </v:shape>
            </w:pict>
          </mc:Fallback>
        </mc:AlternateContent>
      </w:r>
      <w:r w:rsidR="00716C4A" w:rsidRPr="00BB0067">
        <w:rPr>
          <w:rStyle w:val="lev"/>
          <w:rFonts w:cstheme="minorHAnsi"/>
          <w:b w:val="0"/>
          <w:bCs w:val="0"/>
          <w:color w:val="000000"/>
        </w:rPr>
        <w:t xml:space="preserve">A partir de l’exploitation de l’ensemble des documents, </w:t>
      </w:r>
      <w:r w:rsidR="00716C4A" w:rsidRPr="00BB0067">
        <w:rPr>
          <w:rStyle w:val="lev"/>
          <w:rFonts w:cstheme="minorHAnsi"/>
          <w:color w:val="000000"/>
        </w:rPr>
        <w:t>construi</w:t>
      </w:r>
      <w:r w:rsidR="009B483B" w:rsidRPr="00BB0067">
        <w:rPr>
          <w:rStyle w:val="lev"/>
          <w:rFonts w:cstheme="minorHAnsi"/>
          <w:color w:val="000000"/>
        </w:rPr>
        <w:t>re</w:t>
      </w:r>
      <w:r w:rsidR="00716C4A" w:rsidRPr="00BB0067">
        <w:rPr>
          <w:rStyle w:val="lev"/>
          <w:rFonts w:cstheme="minorHAnsi"/>
          <w:color w:val="000000"/>
        </w:rPr>
        <w:t xml:space="preserve"> une carte mentale</w:t>
      </w:r>
      <w:r w:rsidR="00716C4A" w:rsidRPr="00BB0067">
        <w:rPr>
          <w:rStyle w:val="lev"/>
          <w:rFonts w:cstheme="minorHAnsi"/>
          <w:b w:val="0"/>
          <w:bCs w:val="0"/>
          <w:color w:val="000000"/>
        </w:rPr>
        <w:t xml:space="preserve"> expliquant d’une part le rôle de la réaction immunitaire dans les symptômes observés chez les patients sévèrement touchés et d’autre part le mode d’action des anticorps monoclonaux </w:t>
      </w:r>
      <w:r w:rsidR="00BB0067">
        <w:rPr>
          <w:rStyle w:val="lev"/>
          <w:rFonts w:cstheme="minorHAnsi"/>
          <w:b w:val="0"/>
          <w:bCs w:val="0"/>
          <w:color w:val="000000"/>
        </w:rPr>
        <w:t>T</w:t>
      </w:r>
      <w:r w:rsidR="00716C4A" w:rsidRPr="00BB0067">
        <w:rPr>
          <w:rStyle w:val="lev"/>
          <w:rFonts w:cstheme="minorHAnsi"/>
          <w:b w:val="0"/>
          <w:bCs w:val="0"/>
          <w:color w:val="000000"/>
        </w:rPr>
        <w:t>ocilizumab.</w:t>
      </w:r>
    </w:p>
    <w:p w14:paraId="341439A3" w14:textId="4769CF8D" w:rsidR="009B483B" w:rsidRPr="00BB0067" w:rsidRDefault="009B483B" w:rsidP="009B483B">
      <w:pPr>
        <w:pStyle w:val="NormalWeb"/>
        <w:shd w:val="clear" w:color="auto" w:fill="FFFFFF"/>
        <w:spacing w:before="0" w:beforeAutospacing="0" w:after="0" w:afterAutospacing="0"/>
        <w:rPr>
          <w:rStyle w:val="lev"/>
          <w:rFonts w:asciiTheme="minorHAnsi" w:hAnsiTheme="minorHAnsi" w:cstheme="minorHAnsi"/>
          <w:b w:val="0"/>
          <w:bCs w:val="0"/>
          <w:color w:val="000000"/>
          <w:sz w:val="22"/>
          <w:szCs w:val="22"/>
        </w:rPr>
      </w:pPr>
    </w:p>
    <w:p w14:paraId="275D090D" w14:textId="77777777" w:rsidR="00BB0067" w:rsidRDefault="00716C4A" w:rsidP="00BB0067">
      <w:pPr>
        <w:pStyle w:val="NormalWeb"/>
        <w:shd w:val="clear" w:color="auto" w:fill="FFFFFF"/>
        <w:spacing w:before="0" w:beforeAutospacing="0" w:after="0" w:afterAutospacing="0"/>
        <w:jc w:val="both"/>
        <w:rPr>
          <w:rStyle w:val="lev"/>
          <w:rFonts w:asciiTheme="minorHAnsi" w:eastAsiaTheme="majorEastAsia" w:hAnsiTheme="minorHAnsi" w:cstheme="minorHAnsi"/>
          <w:color w:val="000000"/>
          <w:sz w:val="22"/>
          <w:szCs w:val="22"/>
          <w:u w:val="single"/>
        </w:rPr>
      </w:pPr>
      <w:r w:rsidRPr="00BB0067">
        <w:rPr>
          <w:rStyle w:val="lev"/>
          <w:rFonts w:asciiTheme="minorHAnsi" w:eastAsiaTheme="majorEastAsia" w:hAnsiTheme="minorHAnsi" w:cstheme="minorHAnsi"/>
          <w:color w:val="000000"/>
          <w:sz w:val="22"/>
          <w:szCs w:val="22"/>
          <w:u w:val="single"/>
        </w:rPr>
        <w:t>Docu</w:t>
      </w:r>
      <w:r w:rsidR="009B483B" w:rsidRPr="00BB0067">
        <w:rPr>
          <w:rStyle w:val="lev"/>
          <w:rFonts w:asciiTheme="minorHAnsi" w:hAnsiTheme="minorHAnsi" w:cstheme="minorHAnsi"/>
          <w:color w:val="000000"/>
          <w:sz w:val="22"/>
          <w:szCs w:val="22"/>
          <w:u w:val="single"/>
        </w:rPr>
        <w:t>m</w:t>
      </w:r>
      <w:r w:rsidRPr="00BB0067">
        <w:rPr>
          <w:rStyle w:val="lev"/>
          <w:rFonts w:asciiTheme="minorHAnsi" w:eastAsiaTheme="majorEastAsia" w:hAnsiTheme="minorHAnsi" w:cstheme="minorHAnsi"/>
          <w:color w:val="000000"/>
          <w:sz w:val="22"/>
          <w:szCs w:val="22"/>
          <w:u w:val="single"/>
        </w:rPr>
        <w:t xml:space="preserve">ent </w:t>
      </w:r>
      <w:r w:rsidR="009B483B" w:rsidRPr="00BB0067">
        <w:rPr>
          <w:rStyle w:val="lev"/>
          <w:rFonts w:asciiTheme="minorHAnsi" w:eastAsiaTheme="majorEastAsia" w:hAnsiTheme="minorHAnsi" w:cstheme="minorHAnsi"/>
          <w:color w:val="000000"/>
          <w:sz w:val="22"/>
          <w:szCs w:val="22"/>
          <w:u w:val="single"/>
        </w:rPr>
        <w:t>1</w:t>
      </w:r>
      <w:r w:rsidRPr="00BB0067">
        <w:rPr>
          <w:rStyle w:val="lev"/>
          <w:rFonts w:asciiTheme="minorHAnsi" w:eastAsiaTheme="majorEastAsia" w:hAnsiTheme="minorHAnsi" w:cstheme="minorHAnsi"/>
          <w:color w:val="000000"/>
          <w:sz w:val="22"/>
          <w:szCs w:val="22"/>
          <w:u w:val="single"/>
        </w:rPr>
        <w:t> : La réponse immunitaire mise en place contre le SARS-Cov2 au niveau des alvéoles pulmonaires</w:t>
      </w:r>
    </w:p>
    <w:p w14:paraId="5E54C863" w14:textId="37310520" w:rsidR="00716C4A" w:rsidRPr="00BB0067" w:rsidRDefault="00BB0067" w:rsidP="00BB0067">
      <w:pPr>
        <w:pStyle w:val="NormalWeb"/>
        <w:shd w:val="clear" w:color="auto" w:fill="FFFFFF"/>
        <w:spacing w:before="0" w:beforeAutospacing="0" w:after="0" w:afterAutospacing="0"/>
        <w:jc w:val="both"/>
        <w:rPr>
          <w:rStyle w:val="Accentuation"/>
          <w:rFonts w:asciiTheme="minorHAnsi" w:hAnsiTheme="minorHAnsi" w:cstheme="minorHAnsi"/>
          <w:i w:val="0"/>
          <w:iCs w:val="0"/>
          <w:color w:val="000000"/>
          <w:sz w:val="22"/>
          <w:szCs w:val="22"/>
          <w:u w:val="single"/>
        </w:rPr>
      </w:pPr>
      <w:r>
        <w:rPr>
          <w:noProof/>
        </w:rPr>
        <w:drawing>
          <wp:anchor distT="0" distB="0" distL="114300" distR="114300" simplePos="0" relativeHeight="251674624" behindDoc="0" locked="0" layoutInCell="1" allowOverlap="1" wp14:anchorId="2C48E731" wp14:editId="3239C4BD">
            <wp:simplePos x="0" y="0"/>
            <wp:positionH relativeFrom="margin">
              <wp:align>right</wp:align>
            </wp:positionH>
            <wp:positionV relativeFrom="paragraph">
              <wp:posOffset>101600</wp:posOffset>
            </wp:positionV>
            <wp:extent cx="6840220" cy="4037965"/>
            <wp:effectExtent l="0" t="0" r="0" b="635"/>
            <wp:wrapThrough wrapText="bothSides">
              <wp:wrapPolygon edited="0">
                <wp:start x="0" y="0"/>
                <wp:lineTo x="0" y="21501"/>
                <wp:lineTo x="21536" y="21501"/>
                <wp:lineTo x="2153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220" cy="4037965"/>
                    </a:xfrm>
                    <a:prstGeom prst="rect">
                      <a:avLst/>
                    </a:prstGeom>
                    <a:noFill/>
                    <a:ln>
                      <a:noFill/>
                    </a:ln>
                  </pic:spPr>
                </pic:pic>
              </a:graphicData>
            </a:graphic>
          </wp:anchor>
        </w:drawing>
      </w:r>
      <w:proofErr w:type="spellStart"/>
      <w:r w:rsidR="00716C4A" w:rsidRPr="009B483B">
        <w:rPr>
          <w:rStyle w:val="Accentuation"/>
          <w:rFonts w:cstheme="minorHAnsi"/>
          <w:color w:val="000000"/>
          <w:shd w:val="clear" w:color="auto" w:fill="FFFFFF"/>
        </w:rPr>
        <w:t>ChiZhang</w:t>
      </w:r>
      <w:proofErr w:type="spellEnd"/>
      <w:r w:rsidR="00716C4A" w:rsidRPr="009B483B">
        <w:rPr>
          <w:rStyle w:val="Accentuation"/>
          <w:rFonts w:cstheme="minorHAnsi"/>
          <w:color w:val="000000"/>
          <w:shd w:val="clear" w:color="auto" w:fill="FFFFFF"/>
        </w:rPr>
        <w:t xml:space="preserve"> et al. </w:t>
      </w:r>
      <w:hyperlink r:id="rId7" w:anchor="!" w:tgtFrame="_blank" w:history="1">
        <w:r w:rsidR="00716C4A" w:rsidRPr="009B483B">
          <w:rPr>
            <w:rStyle w:val="Lienhypertexte"/>
            <w:rFonts w:cstheme="minorHAnsi"/>
            <w:i/>
            <w:iCs/>
            <w:bdr w:val="none" w:sz="0" w:space="0" w:color="auto" w:frame="1"/>
            <w:shd w:val="clear" w:color="auto" w:fill="FFFFFF"/>
          </w:rPr>
          <w:t xml:space="preserve">The cytokine release syndrome (CRS) of </w:t>
        </w:r>
        <w:proofErr w:type="spellStart"/>
        <w:r w:rsidR="00716C4A" w:rsidRPr="009B483B">
          <w:rPr>
            <w:rStyle w:val="Lienhypertexte"/>
            <w:rFonts w:cstheme="minorHAnsi"/>
            <w:i/>
            <w:iCs/>
            <w:bdr w:val="none" w:sz="0" w:space="0" w:color="auto" w:frame="1"/>
            <w:shd w:val="clear" w:color="auto" w:fill="FFFFFF"/>
          </w:rPr>
          <w:t>severe</w:t>
        </w:r>
        <w:proofErr w:type="spellEnd"/>
        <w:r w:rsidR="00716C4A" w:rsidRPr="009B483B">
          <w:rPr>
            <w:rStyle w:val="Lienhypertexte"/>
            <w:rFonts w:cstheme="minorHAnsi"/>
            <w:i/>
            <w:iCs/>
            <w:bdr w:val="none" w:sz="0" w:space="0" w:color="auto" w:frame="1"/>
            <w:shd w:val="clear" w:color="auto" w:fill="FFFFFF"/>
          </w:rPr>
          <w:t xml:space="preserve"> COVID-19 and Interleukin-6 </w:t>
        </w:r>
        <w:proofErr w:type="spellStart"/>
        <w:r w:rsidR="00716C4A" w:rsidRPr="009B483B">
          <w:rPr>
            <w:rStyle w:val="Lienhypertexte"/>
            <w:rFonts w:cstheme="minorHAnsi"/>
            <w:i/>
            <w:iCs/>
            <w:bdr w:val="none" w:sz="0" w:space="0" w:color="auto" w:frame="1"/>
            <w:shd w:val="clear" w:color="auto" w:fill="FFFFFF"/>
          </w:rPr>
          <w:t>receptor</w:t>
        </w:r>
        <w:proofErr w:type="spellEnd"/>
        <w:r w:rsidR="00716C4A" w:rsidRPr="009B483B">
          <w:rPr>
            <w:rStyle w:val="Lienhypertexte"/>
            <w:rFonts w:cstheme="minorHAnsi"/>
            <w:i/>
            <w:iCs/>
            <w:bdr w:val="none" w:sz="0" w:space="0" w:color="auto" w:frame="1"/>
            <w:shd w:val="clear" w:color="auto" w:fill="FFFFFF"/>
          </w:rPr>
          <w:t xml:space="preserve"> (IL-6R) </w:t>
        </w:r>
        <w:proofErr w:type="spellStart"/>
        <w:r w:rsidR="00716C4A" w:rsidRPr="009B483B">
          <w:rPr>
            <w:rStyle w:val="Lienhypertexte"/>
            <w:rFonts w:cstheme="minorHAnsi"/>
            <w:i/>
            <w:iCs/>
            <w:bdr w:val="none" w:sz="0" w:space="0" w:color="auto" w:frame="1"/>
            <w:shd w:val="clear" w:color="auto" w:fill="FFFFFF"/>
          </w:rPr>
          <w:t>antagonist</w:t>
        </w:r>
        <w:proofErr w:type="spellEnd"/>
        <w:r w:rsidR="00716C4A" w:rsidRPr="009B483B">
          <w:rPr>
            <w:rStyle w:val="Lienhypertexte"/>
            <w:rFonts w:cstheme="minorHAnsi"/>
            <w:i/>
            <w:iCs/>
            <w:bdr w:val="none" w:sz="0" w:space="0" w:color="auto" w:frame="1"/>
            <w:shd w:val="clear" w:color="auto" w:fill="FFFFFF"/>
          </w:rPr>
          <w:t xml:space="preserve"> Tocilizumab </w:t>
        </w:r>
        <w:proofErr w:type="spellStart"/>
        <w:r w:rsidR="00716C4A" w:rsidRPr="009B483B">
          <w:rPr>
            <w:rStyle w:val="Lienhypertexte"/>
            <w:rFonts w:cstheme="minorHAnsi"/>
            <w:i/>
            <w:iCs/>
            <w:bdr w:val="none" w:sz="0" w:space="0" w:color="auto" w:frame="1"/>
            <w:shd w:val="clear" w:color="auto" w:fill="FFFFFF"/>
          </w:rPr>
          <w:t>may</w:t>
        </w:r>
        <w:proofErr w:type="spellEnd"/>
        <w:r w:rsidR="00716C4A" w:rsidRPr="009B483B">
          <w:rPr>
            <w:rStyle w:val="Lienhypertexte"/>
            <w:rFonts w:cstheme="minorHAnsi"/>
            <w:i/>
            <w:iCs/>
            <w:bdr w:val="none" w:sz="0" w:space="0" w:color="auto" w:frame="1"/>
            <w:shd w:val="clear" w:color="auto" w:fill="FFFFFF"/>
          </w:rPr>
          <w:t xml:space="preserve"> </w:t>
        </w:r>
        <w:proofErr w:type="spellStart"/>
        <w:r w:rsidR="00716C4A" w:rsidRPr="009B483B">
          <w:rPr>
            <w:rStyle w:val="Lienhypertexte"/>
            <w:rFonts w:cstheme="minorHAnsi"/>
            <w:i/>
            <w:iCs/>
            <w:bdr w:val="none" w:sz="0" w:space="0" w:color="auto" w:frame="1"/>
            <w:shd w:val="clear" w:color="auto" w:fill="FFFFFF"/>
          </w:rPr>
          <w:t>be</w:t>
        </w:r>
        <w:proofErr w:type="spellEnd"/>
        <w:r w:rsidR="00716C4A" w:rsidRPr="009B483B">
          <w:rPr>
            <w:rStyle w:val="Lienhypertexte"/>
            <w:rFonts w:cstheme="minorHAnsi"/>
            <w:i/>
            <w:iCs/>
            <w:bdr w:val="none" w:sz="0" w:space="0" w:color="auto" w:frame="1"/>
            <w:shd w:val="clear" w:color="auto" w:fill="FFFFFF"/>
          </w:rPr>
          <w:t xml:space="preserve"> the key to </w:t>
        </w:r>
        <w:proofErr w:type="spellStart"/>
        <w:r w:rsidR="00716C4A" w:rsidRPr="009B483B">
          <w:rPr>
            <w:rStyle w:val="Lienhypertexte"/>
            <w:rFonts w:cstheme="minorHAnsi"/>
            <w:i/>
            <w:iCs/>
            <w:bdr w:val="none" w:sz="0" w:space="0" w:color="auto" w:frame="1"/>
            <w:shd w:val="clear" w:color="auto" w:fill="FFFFFF"/>
          </w:rPr>
          <w:t>reduce</w:t>
        </w:r>
        <w:proofErr w:type="spellEnd"/>
        <w:r w:rsidR="00716C4A" w:rsidRPr="009B483B">
          <w:rPr>
            <w:rStyle w:val="Lienhypertexte"/>
            <w:rFonts w:cstheme="minorHAnsi"/>
            <w:i/>
            <w:iCs/>
            <w:bdr w:val="none" w:sz="0" w:space="0" w:color="auto" w:frame="1"/>
            <w:shd w:val="clear" w:color="auto" w:fill="FFFFFF"/>
          </w:rPr>
          <w:t xml:space="preserve"> the </w:t>
        </w:r>
        <w:proofErr w:type="spellStart"/>
        <w:r w:rsidR="00716C4A" w:rsidRPr="009B483B">
          <w:rPr>
            <w:rStyle w:val="Lienhypertexte"/>
            <w:rFonts w:cstheme="minorHAnsi"/>
            <w:i/>
            <w:iCs/>
            <w:bdr w:val="none" w:sz="0" w:space="0" w:color="auto" w:frame="1"/>
            <w:shd w:val="clear" w:color="auto" w:fill="FFFFFF"/>
          </w:rPr>
          <w:t>mortality</w:t>
        </w:r>
        <w:proofErr w:type="spellEnd"/>
      </w:hyperlink>
      <w:r w:rsidR="00716C4A" w:rsidRPr="009B483B">
        <w:rPr>
          <w:rStyle w:val="Accentuation"/>
          <w:rFonts w:cstheme="minorHAnsi"/>
          <w:color w:val="000000"/>
          <w:shd w:val="clear" w:color="auto" w:fill="FFFFFF"/>
        </w:rPr>
        <w:t xml:space="preserve">. International Journal of </w:t>
      </w:r>
      <w:proofErr w:type="spellStart"/>
      <w:r w:rsidR="00716C4A" w:rsidRPr="009B483B">
        <w:rPr>
          <w:rStyle w:val="Accentuation"/>
          <w:rFonts w:cstheme="minorHAnsi"/>
          <w:color w:val="000000"/>
          <w:shd w:val="clear" w:color="auto" w:fill="FFFFFF"/>
        </w:rPr>
        <w:t>Antimicrobial</w:t>
      </w:r>
      <w:proofErr w:type="spellEnd"/>
      <w:r w:rsidR="00716C4A" w:rsidRPr="009B483B">
        <w:rPr>
          <w:rStyle w:val="Accentuation"/>
          <w:rFonts w:cstheme="minorHAnsi"/>
          <w:color w:val="000000"/>
          <w:shd w:val="clear" w:color="auto" w:fill="FFFFFF"/>
        </w:rPr>
        <w:t xml:space="preserve"> Agents. 2020.</w:t>
      </w:r>
    </w:p>
    <w:p w14:paraId="17DB0FAF" w14:textId="77777777" w:rsidR="009B483B" w:rsidRDefault="009B483B" w:rsidP="00716C4A">
      <w:pPr>
        <w:pStyle w:val="NormalWeb"/>
        <w:shd w:val="clear" w:color="auto" w:fill="FFFFFF"/>
        <w:spacing w:before="0" w:beforeAutospacing="0" w:after="0" w:afterAutospacing="0"/>
        <w:rPr>
          <w:rFonts w:asciiTheme="minorHAnsi" w:hAnsiTheme="minorHAnsi" w:cstheme="minorHAnsi"/>
          <w:color w:val="000000"/>
          <w:u w:val="single"/>
        </w:rPr>
      </w:pPr>
    </w:p>
    <w:p w14:paraId="64E2EADC" w14:textId="77777777" w:rsidR="009B483B" w:rsidRDefault="009B483B" w:rsidP="00716C4A">
      <w:pPr>
        <w:pStyle w:val="NormalWeb"/>
        <w:shd w:val="clear" w:color="auto" w:fill="FFFFFF"/>
        <w:spacing w:before="0" w:beforeAutospacing="0" w:after="0" w:afterAutospacing="0"/>
        <w:rPr>
          <w:rFonts w:asciiTheme="minorHAnsi" w:hAnsiTheme="minorHAnsi" w:cstheme="minorHAnsi"/>
          <w:color w:val="000000"/>
          <w:u w:val="single"/>
        </w:rPr>
      </w:pPr>
    </w:p>
    <w:p w14:paraId="1CD199B8" w14:textId="77777777" w:rsidR="009B483B" w:rsidRDefault="009B483B" w:rsidP="00716C4A">
      <w:pPr>
        <w:pStyle w:val="NormalWeb"/>
        <w:shd w:val="clear" w:color="auto" w:fill="FFFFFF"/>
        <w:spacing w:before="0" w:beforeAutospacing="0" w:after="0" w:afterAutospacing="0"/>
        <w:rPr>
          <w:rFonts w:asciiTheme="minorHAnsi" w:hAnsiTheme="minorHAnsi" w:cstheme="minorHAnsi"/>
          <w:color w:val="000000"/>
          <w:u w:val="single"/>
        </w:rPr>
      </w:pPr>
    </w:p>
    <w:p w14:paraId="79F21B75" w14:textId="77777777" w:rsidR="009B483B" w:rsidRDefault="009B483B" w:rsidP="00716C4A">
      <w:pPr>
        <w:pStyle w:val="NormalWeb"/>
        <w:shd w:val="clear" w:color="auto" w:fill="FFFFFF"/>
        <w:spacing w:before="0" w:beforeAutospacing="0" w:after="0" w:afterAutospacing="0"/>
        <w:rPr>
          <w:rFonts w:asciiTheme="minorHAnsi" w:hAnsiTheme="minorHAnsi" w:cstheme="minorHAnsi"/>
          <w:color w:val="000000"/>
          <w:u w:val="single"/>
        </w:rPr>
      </w:pPr>
    </w:p>
    <w:p w14:paraId="1CBDEBCD" w14:textId="77777777" w:rsidR="009B483B" w:rsidRDefault="009B483B" w:rsidP="00716C4A">
      <w:pPr>
        <w:pStyle w:val="NormalWeb"/>
        <w:shd w:val="clear" w:color="auto" w:fill="FFFFFF"/>
        <w:spacing w:before="0" w:beforeAutospacing="0" w:after="0" w:afterAutospacing="0"/>
        <w:rPr>
          <w:rFonts w:asciiTheme="minorHAnsi" w:hAnsiTheme="minorHAnsi" w:cstheme="minorHAnsi"/>
          <w:color w:val="000000"/>
          <w:u w:val="single"/>
        </w:rPr>
      </w:pPr>
    </w:p>
    <w:p w14:paraId="0969F2F6" w14:textId="77777777" w:rsidR="009B483B" w:rsidRDefault="009B483B" w:rsidP="00716C4A">
      <w:pPr>
        <w:pStyle w:val="NormalWeb"/>
        <w:shd w:val="clear" w:color="auto" w:fill="FFFFFF"/>
        <w:spacing w:before="0" w:beforeAutospacing="0" w:after="0" w:afterAutospacing="0"/>
        <w:rPr>
          <w:rFonts w:asciiTheme="minorHAnsi" w:hAnsiTheme="minorHAnsi" w:cstheme="minorHAnsi"/>
          <w:color w:val="000000"/>
          <w:u w:val="single"/>
        </w:rPr>
      </w:pPr>
    </w:p>
    <w:p w14:paraId="4EBE0080" w14:textId="258DD001" w:rsidR="00716C4A" w:rsidRPr="009B483B" w:rsidRDefault="00716C4A" w:rsidP="0085018A">
      <w:pPr>
        <w:pStyle w:val="NormalWeb"/>
        <w:shd w:val="clear" w:color="auto" w:fill="FFFFFF"/>
        <w:spacing w:before="0" w:beforeAutospacing="0" w:after="0" w:afterAutospacing="0"/>
        <w:jc w:val="both"/>
        <w:rPr>
          <w:rFonts w:asciiTheme="minorHAnsi" w:hAnsiTheme="minorHAnsi" w:cstheme="minorHAnsi"/>
          <w:color w:val="000000"/>
        </w:rPr>
      </w:pPr>
      <w:r w:rsidRPr="009B483B">
        <w:rPr>
          <w:rFonts w:asciiTheme="minorHAnsi" w:hAnsiTheme="minorHAnsi" w:cstheme="minorHAnsi"/>
          <w:color w:val="000000"/>
          <w:u w:val="single"/>
        </w:rPr>
        <w:lastRenderedPageBreak/>
        <w:t>Mécanisme pouvant expliquer la libération excessive de cytokinines par le système</w:t>
      </w:r>
      <w:r w:rsidR="009B483B">
        <w:rPr>
          <w:rFonts w:asciiTheme="minorHAnsi" w:hAnsiTheme="minorHAnsi" w:cstheme="minorHAnsi"/>
          <w:color w:val="000000"/>
          <w:u w:val="single"/>
        </w:rPr>
        <w:t xml:space="preserve"> </w:t>
      </w:r>
      <w:r w:rsidRPr="009B483B">
        <w:rPr>
          <w:rFonts w:asciiTheme="minorHAnsi" w:hAnsiTheme="minorHAnsi" w:cstheme="minorHAnsi"/>
          <w:color w:val="000000"/>
          <w:u w:val="single"/>
        </w:rPr>
        <w:t>immunitaire chez des patients sévèrement touchés :</w:t>
      </w:r>
    </w:p>
    <w:p w14:paraId="45FD5136" w14:textId="7DFFDD7E" w:rsidR="00960EFE" w:rsidRPr="000E5675" w:rsidRDefault="00716C4A" w:rsidP="000E5675">
      <w:pPr>
        <w:pStyle w:val="NormalWeb"/>
        <w:shd w:val="clear" w:color="auto" w:fill="FFFFFF"/>
        <w:spacing w:before="120" w:beforeAutospacing="0" w:after="240" w:afterAutospacing="0"/>
        <w:jc w:val="both"/>
        <w:rPr>
          <w:rStyle w:val="lev"/>
          <w:rFonts w:asciiTheme="minorHAnsi" w:hAnsiTheme="minorHAnsi" w:cstheme="minorHAnsi"/>
          <w:b w:val="0"/>
          <w:bCs w:val="0"/>
          <w:color w:val="000000"/>
        </w:rPr>
      </w:pPr>
      <w:r w:rsidRPr="009B483B">
        <w:rPr>
          <w:rFonts w:asciiTheme="minorHAnsi" w:hAnsiTheme="minorHAnsi" w:cstheme="minorHAnsi"/>
          <w:color w:val="000000"/>
        </w:rPr>
        <w:t>Le SARS-CoV-2 infecte les cellules épithéliales des alvéoles pulmonaires, principalement les cellules</w:t>
      </w:r>
      <w:r w:rsidR="0085018A">
        <w:rPr>
          <w:rFonts w:asciiTheme="minorHAnsi" w:hAnsiTheme="minorHAnsi" w:cstheme="minorHAnsi"/>
          <w:color w:val="000000"/>
        </w:rPr>
        <w:t xml:space="preserve"> </w:t>
      </w:r>
      <w:r w:rsidRPr="009B483B">
        <w:rPr>
          <w:rFonts w:asciiTheme="minorHAnsi" w:hAnsiTheme="minorHAnsi" w:cstheme="minorHAnsi"/>
          <w:color w:val="000000"/>
        </w:rPr>
        <w:t>épithéliales alvéolaires possédant le récepteur ACE2. La destruction des cellules épithéliales et l'augmentation de la perméabilité cellulaire conduisent à la libération du virus. Le SARS-CoV-2 active le système immunitaire inné, les macrophages et autres cellules immunitaires innées (granulocytes, cellules dendritiques…) non seulement capturent le virus, mais libèrent également un grand nombre de cytokines, dont l'interleukine 6 (IL-6). L'immunité adaptative est également activée par les cellules présentant l'antigène (principalement les cellules dendritiques). Les lymphocytes T et les lymphocytes B jouent non seulement un rôle antiviral, mais favorisent également directement ou indirectement la sécrétion de cytokines inflammatoires. Sous la stimulation de ces facteurs inflammatoires, des fluides produits par l’inflammation et des érythrocytes (globules rouges) pénètrent dans les alvéoles, entraînant une dyspnée (gêne respiratoire) et une insuffisance respiratoire.</w:t>
      </w:r>
    </w:p>
    <w:p w14:paraId="1D7CB665" w14:textId="4070E490" w:rsidR="00716C4A" w:rsidRPr="0085018A" w:rsidRDefault="00716C4A" w:rsidP="009B483B">
      <w:pPr>
        <w:pStyle w:val="NormalWeb"/>
        <w:shd w:val="clear" w:color="auto" w:fill="FFFFFF"/>
        <w:spacing w:before="120" w:beforeAutospacing="0" w:after="240" w:afterAutospacing="0"/>
        <w:rPr>
          <w:rFonts w:asciiTheme="minorHAnsi" w:hAnsiTheme="minorHAnsi" w:cstheme="minorHAnsi"/>
          <w:color w:val="000000"/>
          <w:sz w:val="22"/>
          <w:szCs w:val="22"/>
          <w:u w:val="single"/>
        </w:rPr>
      </w:pPr>
      <w:r w:rsidRPr="0085018A">
        <w:rPr>
          <w:rStyle w:val="lev"/>
          <w:rFonts w:asciiTheme="minorHAnsi" w:eastAsiaTheme="majorEastAsia" w:hAnsiTheme="minorHAnsi" w:cstheme="minorHAnsi"/>
          <w:color w:val="000000"/>
          <w:sz w:val="22"/>
          <w:szCs w:val="22"/>
          <w:u w:val="single"/>
        </w:rPr>
        <w:t>Document </w:t>
      </w:r>
      <w:r w:rsidR="009B483B" w:rsidRPr="0085018A">
        <w:rPr>
          <w:rStyle w:val="lev"/>
          <w:rFonts w:asciiTheme="minorHAnsi" w:eastAsiaTheme="majorEastAsia" w:hAnsiTheme="minorHAnsi" w:cstheme="minorHAnsi"/>
          <w:color w:val="000000"/>
          <w:sz w:val="22"/>
          <w:szCs w:val="22"/>
          <w:u w:val="single"/>
        </w:rPr>
        <w:t>2</w:t>
      </w:r>
      <w:r w:rsidRPr="0085018A">
        <w:rPr>
          <w:rStyle w:val="lev"/>
          <w:rFonts w:asciiTheme="minorHAnsi" w:eastAsiaTheme="majorEastAsia" w:hAnsiTheme="minorHAnsi" w:cstheme="minorHAnsi"/>
          <w:color w:val="000000"/>
          <w:sz w:val="22"/>
          <w:szCs w:val="22"/>
          <w:u w:val="single"/>
        </w:rPr>
        <w:t> : les caractéristiques de l’interleukine 6</w:t>
      </w:r>
    </w:p>
    <w:p w14:paraId="75203DB5" w14:textId="77777777" w:rsidR="002432F0" w:rsidRDefault="00716C4A" w:rsidP="002432F0">
      <w:pPr>
        <w:pStyle w:val="NormalWeb"/>
        <w:shd w:val="clear" w:color="auto" w:fill="FFFFFF"/>
        <w:spacing w:before="120" w:beforeAutospacing="0" w:after="240" w:afterAutospacing="0"/>
        <w:rPr>
          <w:rFonts w:asciiTheme="minorHAnsi" w:hAnsiTheme="minorHAnsi" w:cstheme="minorHAnsi"/>
          <w:color w:val="000000"/>
        </w:rPr>
      </w:pPr>
      <w:r>
        <w:rPr>
          <w:noProof/>
        </w:rPr>
        <w:drawing>
          <wp:inline distT="0" distB="0" distL="0" distR="0" wp14:anchorId="68452AF7" wp14:editId="6914DEEA">
            <wp:extent cx="6977023" cy="3238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3149" cy="3241344"/>
                    </a:xfrm>
                    <a:prstGeom prst="rect">
                      <a:avLst/>
                    </a:prstGeom>
                    <a:noFill/>
                    <a:ln>
                      <a:noFill/>
                    </a:ln>
                  </pic:spPr>
                </pic:pic>
              </a:graphicData>
            </a:graphic>
          </wp:inline>
        </w:drawing>
      </w:r>
    </w:p>
    <w:p w14:paraId="76E66C84" w14:textId="77777777" w:rsidR="00960EFE" w:rsidRDefault="00960EFE" w:rsidP="002432F0">
      <w:pPr>
        <w:pStyle w:val="NormalWeb"/>
        <w:shd w:val="clear" w:color="auto" w:fill="FFFFFF"/>
        <w:spacing w:before="120" w:beforeAutospacing="0" w:after="240" w:afterAutospacing="0"/>
        <w:rPr>
          <w:rFonts w:asciiTheme="minorHAnsi" w:hAnsiTheme="minorHAnsi" w:cstheme="minorHAnsi"/>
          <w:color w:val="000000"/>
        </w:rPr>
      </w:pPr>
    </w:p>
    <w:p w14:paraId="0DAEBCED" w14:textId="222169D9" w:rsidR="00716C4A" w:rsidRPr="009B483B" w:rsidRDefault="00716C4A" w:rsidP="002309C9">
      <w:pPr>
        <w:pStyle w:val="NormalWeb"/>
        <w:shd w:val="clear" w:color="auto" w:fill="FFFFFF"/>
        <w:spacing w:before="120" w:beforeAutospacing="0" w:after="240" w:afterAutospacing="0"/>
        <w:jc w:val="both"/>
        <w:rPr>
          <w:rFonts w:asciiTheme="minorHAnsi" w:hAnsiTheme="minorHAnsi" w:cstheme="minorHAnsi"/>
          <w:color w:val="000000"/>
        </w:rPr>
      </w:pPr>
      <w:r w:rsidRPr="009B483B">
        <w:rPr>
          <w:rFonts w:asciiTheme="minorHAnsi" w:hAnsiTheme="minorHAnsi" w:cstheme="minorHAnsi"/>
          <w:color w:val="000000"/>
        </w:rPr>
        <w:t xml:space="preserve">Remarque : La </w:t>
      </w:r>
      <w:r w:rsidR="002432F0">
        <w:rPr>
          <w:rFonts w:asciiTheme="minorHAnsi" w:hAnsiTheme="minorHAnsi" w:cstheme="minorHAnsi"/>
          <w:color w:val="000000"/>
        </w:rPr>
        <w:t>P</w:t>
      </w:r>
      <w:r w:rsidRPr="009B483B">
        <w:rPr>
          <w:rFonts w:asciiTheme="minorHAnsi" w:hAnsiTheme="minorHAnsi" w:cstheme="minorHAnsi"/>
          <w:color w:val="000000"/>
        </w:rPr>
        <w:t>rotéine C-réactive (CRP) est une substance produite par le foie, qui induit l’inflammation et dont la concentration sanguine est un marqueur de l’inflammation. Un taux très élevé de CRP est mesuré chez les patients touchés sévèrement par la COVID-19.</w:t>
      </w:r>
    </w:p>
    <w:p w14:paraId="30E96706" w14:textId="77777777" w:rsidR="009B483B" w:rsidRPr="009B483B" w:rsidRDefault="00716C4A" w:rsidP="009B483B">
      <w:pPr>
        <w:pStyle w:val="NormalWeb"/>
        <w:shd w:val="clear" w:color="auto" w:fill="FFFFFF"/>
        <w:spacing w:before="0" w:beforeAutospacing="0" w:after="0" w:afterAutospacing="0"/>
        <w:rPr>
          <w:rStyle w:val="Accentuation"/>
          <w:rFonts w:asciiTheme="minorHAnsi" w:eastAsiaTheme="majorEastAsia" w:hAnsiTheme="minorHAnsi" w:cstheme="minorHAnsi"/>
          <w:color w:val="000000"/>
          <w:sz w:val="22"/>
          <w:szCs w:val="22"/>
        </w:rPr>
      </w:pPr>
      <w:r w:rsidRPr="009B483B">
        <w:rPr>
          <w:rStyle w:val="Accentuation"/>
          <w:rFonts w:asciiTheme="minorHAnsi" w:eastAsiaTheme="majorEastAsia" w:hAnsiTheme="minorHAnsi" w:cstheme="minorHAnsi"/>
          <w:color w:val="000000"/>
          <w:sz w:val="22"/>
          <w:szCs w:val="22"/>
        </w:rPr>
        <w:t xml:space="preserve">Document réalisé par Laure </w:t>
      </w:r>
      <w:proofErr w:type="spellStart"/>
      <w:r w:rsidRPr="009B483B">
        <w:rPr>
          <w:rStyle w:val="Accentuation"/>
          <w:rFonts w:asciiTheme="minorHAnsi" w:eastAsiaTheme="majorEastAsia" w:hAnsiTheme="minorHAnsi" w:cstheme="minorHAnsi"/>
          <w:color w:val="000000"/>
          <w:sz w:val="22"/>
          <w:szCs w:val="22"/>
        </w:rPr>
        <w:t>Willhelm</w:t>
      </w:r>
      <w:proofErr w:type="spellEnd"/>
      <w:r w:rsidRPr="009B483B">
        <w:rPr>
          <w:rStyle w:val="Accentuation"/>
          <w:rFonts w:asciiTheme="minorHAnsi" w:eastAsiaTheme="majorEastAsia" w:hAnsiTheme="minorHAnsi" w:cstheme="minorHAnsi"/>
          <w:color w:val="000000"/>
          <w:sz w:val="22"/>
          <w:szCs w:val="22"/>
        </w:rPr>
        <w:t xml:space="preserve">, inspiré de l’article de </w:t>
      </w:r>
      <w:proofErr w:type="spellStart"/>
      <w:r w:rsidRPr="009B483B">
        <w:rPr>
          <w:rStyle w:val="Accentuation"/>
          <w:rFonts w:asciiTheme="minorHAnsi" w:eastAsiaTheme="majorEastAsia" w:hAnsiTheme="minorHAnsi" w:cstheme="minorHAnsi"/>
          <w:color w:val="000000"/>
          <w:sz w:val="22"/>
          <w:szCs w:val="22"/>
        </w:rPr>
        <w:t>ChiZhang</w:t>
      </w:r>
      <w:proofErr w:type="spellEnd"/>
      <w:r w:rsidRPr="009B483B">
        <w:rPr>
          <w:rStyle w:val="Accentuation"/>
          <w:rFonts w:asciiTheme="minorHAnsi" w:eastAsiaTheme="majorEastAsia" w:hAnsiTheme="minorHAnsi" w:cstheme="minorHAnsi"/>
          <w:color w:val="000000"/>
          <w:sz w:val="22"/>
          <w:szCs w:val="22"/>
        </w:rPr>
        <w:t xml:space="preserve"> et al. </w:t>
      </w:r>
      <w:hyperlink r:id="rId9" w:anchor="!" w:tgtFrame="_blank" w:history="1">
        <w:r w:rsidRPr="009B483B">
          <w:rPr>
            <w:rStyle w:val="Lienhypertexte"/>
            <w:rFonts w:asciiTheme="minorHAnsi" w:hAnsiTheme="minorHAnsi" w:cstheme="minorHAnsi"/>
            <w:i/>
            <w:iCs/>
            <w:sz w:val="22"/>
            <w:szCs w:val="22"/>
            <w:bdr w:val="none" w:sz="0" w:space="0" w:color="auto" w:frame="1"/>
          </w:rPr>
          <w:t xml:space="preserve">The cytokine release syndrome (CRS) of </w:t>
        </w:r>
        <w:proofErr w:type="spellStart"/>
        <w:proofErr w:type="gramStart"/>
        <w:r w:rsidRPr="009B483B">
          <w:rPr>
            <w:rStyle w:val="Lienhypertexte"/>
            <w:rFonts w:asciiTheme="minorHAnsi" w:hAnsiTheme="minorHAnsi" w:cstheme="minorHAnsi"/>
            <w:i/>
            <w:iCs/>
            <w:sz w:val="22"/>
            <w:szCs w:val="22"/>
            <w:bdr w:val="none" w:sz="0" w:space="0" w:color="auto" w:frame="1"/>
          </w:rPr>
          <w:t>severe</w:t>
        </w:r>
        <w:proofErr w:type="spellEnd"/>
        <w:proofErr w:type="gramEnd"/>
        <w:r w:rsidRPr="009B483B">
          <w:rPr>
            <w:rStyle w:val="Lienhypertexte"/>
            <w:rFonts w:asciiTheme="minorHAnsi" w:hAnsiTheme="minorHAnsi" w:cstheme="minorHAnsi"/>
            <w:i/>
            <w:iCs/>
            <w:sz w:val="22"/>
            <w:szCs w:val="22"/>
            <w:bdr w:val="none" w:sz="0" w:space="0" w:color="auto" w:frame="1"/>
          </w:rPr>
          <w:t xml:space="preserve"> COVID-19 and Interleukin-6 </w:t>
        </w:r>
        <w:proofErr w:type="spellStart"/>
        <w:r w:rsidRPr="009B483B">
          <w:rPr>
            <w:rStyle w:val="Lienhypertexte"/>
            <w:rFonts w:asciiTheme="minorHAnsi" w:hAnsiTheme="minorHAnsi" w:cstheme="minorHAnsi"/>
            <w:i/>
            <w:iCs/>
            <w:sz w:val="22"/>
            <w:szCs w:val="22"/>
            <w:bdr w:val="none" w:sz="0" w:space="0" w:color="auto" w:frame="1"/>
          </w:rPr>
          <w:t>receptor</w:t>
        </w:r>
        <w:proofErr w:type="spellEnd"/>
        <w:r w:rsidRPr="009B483B">
          <w:rPr>
            <w:rStyle w:val="Lienhypertexte"/>
            <w:rFonts w:asciiTheme="minorHAnsi" w:hAnsiTheme="minorHAnsi" w:cstheme="minorHAnsi"/>
            <w:i/>
            <w:iCs/>
            <w:sz w:val="22"/>
            <w:szCs w:val="22"/>
            <w:bdr w:val="none" w:sz="0" w:space="0" w:color="auto" w:frame="1"/>
          </w:rPr>
          <w:t xml:space="preserve"> (IL-6R) </w:t>
        </w:r>
        <w:proofErr w:type="spellStart"/>
        <w:r w:rsidRPr="009B483B">
          <w:rPr>
            <w:rStyle w:val="Lienhypertexte"/>
            <w:rFonts w:asciiTheme="minorHAnsi" w:hAnsiTheme="minorHAnsi" w:cstheme="minorHAnsi"/>
            <w:i/>
            <w:iCs/>
            <w:sz w:val="22"/>
            <w:szCs w:val="22"/>
            <w:bdr w:val="none" w:sz="0" w:space="0" w:color="auto" w:frame="1"/>
          </w:rPr>
          <w:t>antagonist</w:t>
        </w:r>
        <w:proofErr w:type="spellEnd"/>
        <w:r w:rsidRPr="009B483B">
          <w:rPr>
            <w:rStyle w:val="Lienhypertexte"/>
            <w:rFonts w:asciiTheme="minorHAnsi" w:hAnsiTheme="minorHAnsi" w:cstheme="minorHAnsi"/>
            <w:i/>
            <w:iCs/>
            <w:sz w:val="22"/>
            <w:szCs w:val="22"/>
            <w:bdr w:val="none" w:sz="0" w:space="0" w:color="auto" w:frame="1"/>
          </w:rPr>
          <w:t xml:space="preserve"> Tocilizumab </w:t>
        </w:r>
        <w:proofErr w:type="spellStart"/>
        <w:r w:rsidRPr="009B483B">
          <w:rPr>
            <w:rStyle w:val="Lienhypertexte"/>
            <w:rFonts w:asciiTheme="minorHAnsi" w:hAnsiTheme="minorHAnsi" w:cstheme="minorHAnsi"/>
            <w:i/>
            <w:iCs/>
            <w:sz w:val="22"/>
            <w:szCs w:val="22"/>
            <w:bdr w:val="none" w:sz="0" w:space="0" w:color="auto" w:frame="1"/>
          </w:rPr>
          <w:t>may</w:t>
        </w:r>
        <w:proofErr w:type="spellEnd"/>
        <w:r w:rsidRPr="009B483B">
          <w:rPr>
            <w:rStyle w:val="Lienhypertexte"/>
            <w:rFonts w:asciiTheme="minorHAnsi" w:hAnsiTheme="minorHAnsi" w:cstheme="minorHAnsi"/>
            <w:i/>
            <w:iCs/>
            <w:sz w:val="22"/>
            <w:szCs w:val="22"/>
            <w:bdr w:val="none" w:sz="0" w:space="0" w:color="auto" w:frame="1"/>
          </w:rPr>
          <w:t xml:space="preserve"> </w:t>
        </w:r>
        <w:proofErr w:type="spellStart"/>
        <w:r w:rsidRPr="009B483B">
          <w:rPr>
            <w:rStyle w:val="Lienhypertexte"/>
            <w:rFonts w:asciiTheme="minorHAnsi" w:hAnsiTheme="minorHAnsi" w:cstheme="minorHAnsi"/>
            <w:i/>
            <w:iCs/>
            <w:sz w:val="22"/>
            <w:szCs w:val="22"/>
            <w:bdr w:val="none" w:sz="0" w:space="0" w:color="auto" w:frame="1"/>
          </w:rPr>
          <w:t>be</w:t>
        </w:r>
        <w:proofErr w:type="spellEnd"/>
        <w:r w:rsidRPr="009B483B">
          <w:rPr>
            <w:rStyle w:val="Lienhypertexte"/>
            <w:rFonts w:asciiTheme="minorHAnsi" w:hAnsiTheme="minorHAnsi" w:cstheme="minorHAnsi"/>
            <w:i/>
            <w:iCs/>
            <w:sz w:val="22"/>
            <w:szCs w:val="22"/>
            <w:bdr w:val="none" w:sz="0" w:space="0" w:color="auto" w:frame="1"/>
          </w:rPr>
          <w:t xml:space="preserve"> the key to </w:t>
        </w:r>
        <w:proofErr w:type="spellStart"/>
        <w:r w:rsidRPr="009B483B">
          <w:rPr>
            <w:rStyle w:val="Lienhypertexte"/>
            <w:rFonts w:asciiTheme="minorHAnsi" w:hAnsiTheme="minorHAnsi" w:cstheme="minorHAnsi"/>
            <w:i/>
            <w:iCs/>
            <w:sz w:val="22"/>
            <w:szCs w:val="22"/>
            <w:bdr w:val="none" w:sz="0" w:space="0" w:color="auto" w:frame="1"/>
          </w:rPr>
          <w:t>reduce</w:t>
        </w:r>
        <w:proofErr w:type="spellEnd"/>
        <w:r w:rsidRPr="009B483B">
          <w:rPr>
            <w:rStyle w:val="Lienhypertexte"/>
            <w:rFonts w:asciiTheme="minorHAnsi" w:hAnsiTheme="minorHAnsi" w:cstheme="minorHAnsi"/>
            <w:i/>
            <w:iCs/>
            <w:sz w:val="22"/>
            <w:szCs w:val="22"/>
            <w:bdr w:val="none" w:sz="0" w:space="0" w:color="auto" w:frame="1"/>
          </w:rPr>
          <w:t xml:space="preserve"> the </w:t>
        </w:r>
        <w:proofErr w:type="spellStart"/>
        <w:r w:rsidRPr="009B483B">
          <w:rPr>
            <w:rStyle w:val="Lienhypertexte"/>
            <w:rFonts w:asciiTheme="minorHAnsi" w:hAnsiTheme="minorHAnsi" w:cstheme="minorHAnsi"/>
            <w:i/>
            <w:iCs/>
            <w:sz w:val="22"/>
            <w:szCs w:val="22"/>
            <w:bdr w:val="none" w:sz="0" w:space="0" w:color="auto" w:frame="1"/>
          </w:rPr>
          <w:t>mortality</w:t>
        </w:r>
        <w:proofErr w:type="spellEnd"/>
      </w:hyperlink>
      <w:r w:rsidRPr="009B483B">
        <w:rPr>
          <w:rStyle w:val="Accentuation"/>
          <w:rFonts w:asciiTheme="minorHAnsi" w:eastAsiaTheme="majorEastAsia" w:hAnsiTheme="minorHAnsi" w:cstheme="minorHAnsi"/>
          <w:color w:val="000000"/>
          <w:sz w:val="22"/>
          <w:szCs w:val="22"/>
        </w:rPr>
        <w:t xml:space="preserve">. International Journal of </w:t>
      </w:r>
      <w:proofErr w:type="spellStart"/>
      <w:r w:rsidRPr="009B483B">
        <w:rPr>
          <w:rStyle w:val="Accentuation"/>
          <w:rFonts w:asciiTheme="minorHAnsi" w:eastAsiaTheme="majorEastAsia" w:hAnsiTheme="minorHAnsi" w:cstheme="minorHAnsi"/>
          <w:color w:val="000000"/>
          <w:sz w:val="22"/>
          <w:szCs w:val="22"/>
        </w:rPr>
        <w:t>Antimicrobial</w:t>
      </w:r>
      <w:proofErr w:type="spellEnd"/>
      <w:r w:rsidRPr="009B483B">
        <w:rPr>
          <w:rStyle w:val="Accentuation"/>
          <w:rFonts w:asciiTheme="minorHAnsi" w:eastAsiaTheme="majorEastAsia" w:hAnsiTheme="minorHAnsi" w:cstheme="minorHAnsi"/>
          <w:color w:val="000000"/>
          <w:sz w:val="22"/>
          <w:szCs w:val="22"/>
        </w:rPr>
        <w:t xml:space="preserve"> Agents. 2020.</w:t>
      </w:r>
    </w:p>
    <w:p w14:paraId="07F0B1FD" w14:textId="77777777" w:rsidR="009B483B" w:rsidRDefault="009B483B" w:rsidP="009B483B">
      <w:pPr>
        <w:pStyle w:val="NormalWeb"/>
        <w:shd w:val="clear" w:color="auto" w:fill="FFFFFF"/>
        <w:spacing w:before="0" w:beforeAutospacing="0" w:after="0" w:afterAutospacing="0"/>
        <w:rPr>
          <w:rStyle w:val="Accentuation"/>
          <w:rFonts w:ascii="Arial" w:eastAsiaTheme="majorEastAsia" w:hAnsi="Arial" w:cs="Arial"/>
          <w:color w:val="000000"/>
        </w:rPr>
      </w:pPr>
    </w:p>
    <w:p w14:paraId="5C11D8D1" w14:textId="77777777"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2987EB8E" w14:textId="77777777"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4D892AD5" w14:textId="77777777"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1D55BDF9" w14:textId="77777777"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3FF306A5" w14:textId="77777777"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257C775E" w14:textId="77777777"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0B106B5E" w14:textId="77777777"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11AFD2C4" w14:textId="77777777"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17EF085A" w14:textId="125130BA" w:rsidR="00960EFE" w:rsidRDefault="00960EFE"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4FC71541" w14:textId="2387359B" w:rsidR="00C41FB5" w:rsidRDefault="00C41FB5"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152050BB" w14:textId="77777777" w:rsidR="00C41FB5" w:rsidRDefault="00C41FB5" w:rsidP="009B483B">
      <w:pPr>
        <w:pStyle w:val="NormalWeb"/>
        <w:shd w:val="clear" w:color="auto" w:fill="FFFFFF"/>
        <w:spacing w:before="0" w:beforeAutospacing="0" w:after="0" w:afterAutospacing="0"/>
        <w:rPr>
          <w:rStyle w:val="lev"/>
          <w:rFonts w:asciiTheme="minorHAnsi" w:eastAsiaTheme="majorEastAsia" w:hAnsiTheme="minorHAnsi" w:cstheme="minorHAnsi"/>
          <w:color w:val="000000"/>
        </w:rPr>
      </w:pPr>
    </w:p>
    <w:p w14:paraId="4AEADD36" w14:textId="270C6A9C" w:rsidR="00716C4A" w:rsidRPr="002309C9" w:rsidRDefault="00716C4A" w:rsidP="009B483B">
      <w:pPr>
        <w:pStyle w:val="NormalWeb"/>
        <w:shd w:val="clear" w:color="auto" w:fill="FFFFFF"/>
        <w:spacing w:before="0" w:beforeAutospacing="0" w:after="0" w:afterAutospacing="0"/>
        <w:rPr>
          <w:rFonts w:asciiTheme="minorHAnsi" w:eastAsiaTheme="majorEastAsia" w:hAnsiTheme="minorHAnsi" w:cstheme="minorHAnsi"/>
          <w:i/>
          <w:iCs/>
          <w:color w:val="000000"/>
          <w:sz w:val="22"/>
          <w:szCs w:val="22"/>
          <w:u w:val="single"/>
        </w:rPr>
      </w:pPr>
      <w:r w:rsidRPr="002309C9">
        <w:rPr>
          <w:rStyle w:val="lev"/>
          <w:rFonts w:asciiTheme="minorHAnsi" w:eastAsiaTheme="majorEastAsia" w:hAnsiTheme="minorHAnsi" w:cstheme="minorHAnsi"/>
          <w:color w:val="000000"/>
          <w:sz w:val="22"/>
          <w:szCs w:val="22"/>
          <w:u w:val="single"/>
        </w:rPr>
        <w:lastRenderedPageBreak/>
        <w:t>Document </w:t>
      </w:r>
      <w:r w:rsidR="009B483B" w:rsidRPr="002309C9">
        <w:rPr>
          <w:rStyle w:val="lev"/>
          <w:rFonts w:asciiTheme="minorHAnsi" w:eastAsiaTheme="majorEastAsia" w:hAnsiTheme="minorHAnsi" w:cstheme="minorHAnsi"/>
          <w:color w:val="000000"/>
          <w:sz w:val="22"/>
          <w:szCs w:val="22"/>
          <w:u w:val="single"/>
        </w:rPr>
        <w:t>3</w:t>
      </w:r>
      <w:r w:rsidRPr="002309C9">
        <w:rPr>
          <w:rStyle w:val="lev"/>
          <w:rFonts w:asciiTheme="minorHAnsi" w:eastAsiaTheme="majorEastAsia" w:hAnsiTheme="minorHAnsi" w:cstheme="minorHAnsi"/>
          <w:color w:val="000000"/>
          <w:sz w:val="22"/>
          <w:szCs w:val="22"/>
          <w:u w:val="single"/>
        </w:rPr>
        <w:t> : Les effets du tocilizumab</w:t>
      </w:r>
    </w:p>
    <w:p w14:paraId="2F353F8D" w14:textId="51DEDD92" w:rsidR="00716C4A" w:rsidRPr="009B483B" w:rsidRDefault="00716C4A" w:rsidP="002309C9">
      <w:pPr>
        <w:pStyle w:val="NormalWeb"/>
        <w:shd w:val="clear" w:color="auto" w:fill="FFFFFF"/>
        <w:spacing w:before="120" w:beforeAutospacing="0" w:after="240" w:afterAutospacing="0"/>
        <w:jc w:val="both"/>
        <w:rPr>
          <w:rFonts w:asciiTheme="minorHAnsi" w:hAnsiTheme="minorHAnsi" w:cstheme="minorHAnsi"/>
          <w:color w:val="000000"/>
        </w:rPr>
      </w:pPr>
      <w:r w:rsidRPr="009B483B">
        <w:rPr>
          <w:rFonts w:asciiTheme="minorHAnsi" w:hAnsiTheme="minorHAnsi" w:cstheme="minorHAnsi"/>
          <w:color w:val="000000"/>
        </w:rPr>
        <w:t xml:space="preserve">Le </w:t>
      </w:r>
      <w:r w:rsidR="002309C9">
        <w:rPr>
          <w:rFonts w:asciiTheme="minorHAnsi" w:hAnsiTheme="minorHAnsi" w:cstheme="minorHAnsi"/>
          <w:color w:val="000000"/>
        </w:rPr>
        <w:t>T</w:t>
      </w:r>
      <w:r w:rsidRPr="009B483B">
        <w:rPr>
          <w:rFonts w:asciiTheme="minorHAnsi" w:hAnsiTheme="minorHAnsi" w:cstheme="minorHAnsi"/>
          <w:color w:val="000000"/>
        </w:rPr>
        <w:t>ocilizumab est composé d’anticorps monoclonaux produits par génie génétique. Les gènes qui codent pour les chaînes de ces anticorps sont transférés dans le génome de cellules hôtes (comme par exemple, des cellules ovariennes de hamster chinois). Un vecteur est utilisé pour le transfert puis les cellules ayant intégrées les transgènes sont sélectionnées. Elles sont ensuite mises en culture afin qu’elles se multiplient et produisent les anticorps.</w:t>
      </w:r>
    </w:p>
    <w:p w14:paraId="28D3E362" w14:textId="36101961" w:rsidR="00716C4A" w:rsidRPr="009B483B" w:rsidRDefault="00716C4A" w:rsidP="002309C9">
      <w:pPr>
        <w:pStyle w:val="NormalWeb"/>
        <w:shd w:val="clear" w:color="auto" w:fill="FFFFFF"/>
        <w:spacing w:before="120" w:beforeAutospacing="0" w:after="240" w:afterAutospacing="0"/>
        <w:jc w:val="both"/>
        <w:rPr>
          <w:rFonts w:asciiTheme="minorHAnsi" w:hAnsiTheme="minorHAnsi" w:cstheme="minorHAnsi"/>
          <w:color w:val="000000"/>
        </w:rPr>
      </w:pPr>
      <w:r w:rsidRPr="009B483B">
        <w:rPr>
          <w:rFonts w:asciiTheme="minorHAnsi" w:hAnsiTheme="minorHAnsi" w:cstheme="minorHAnsi"/>
          <w:color w:val="000000"/>
        </w:rPr>
        <w:t xml:space="preserve">Dans le cas du </w:t>
      </w:r>
      <w:r w:rsidR="002309C9">
        <w:rPr>
          <w:rFonts w:asciiTheme="minorHAnsi" w:hAnsiTheme="minorHAnsi" w:cstheme="minorHAnsi"/>
          <w:color w:val="000000"/>
        </w:rPr>
        <w:t>T</w:t>
      </w:r>
      <w:r w:rsidRPr="009B483B">
        <w:rPr>
          <w:rFonts w:asciiTheme="minorHAnsi" w:hAnsiTheme="minorHAnsi" w:cstheme="minorHAnsi"/>
          <w:color w:val="000000"/>
        </w:rPr>
        <w:t xml:space="preserve">ocilizumab, les anticorps sont dirigés contre le récepteur de l'interleukine 6 (IL-6 R). Le </w:t>
      </w:r>
      <w:r w:rsidR="002309C9">
        <w:rPr>
          <w:rFonts w:asciiTheme="minorHAnsi" w:hAnsiTheme="minorHAnsi" w:cstheme="minorHAnsi"/>
          <w:color w:val="000000"/>
        </w:rPr>
        <w:t>T</w:t>
      </w:r>
      <w:r w:rsidRPr="009B483B">
        <w:rPr>
          <w:rFonts w:asciiTheme="minorHAnsi" w:hAnsiTheme="minorHAnsi" w:cstheme="minorHAnsi"/>
          <w:color w:val="000000"/>
        </w:rPr>
        <w:t xml:space="preserve">ocilizumab se lie spécifiquement aux récepteurs à </w:t>
      </w:r>
      <w:proofErr w:type="gramStart"/>
      <w:r w:rsidRPr="009B483B">
        <w:rPr>
          <w:rFonts w:asciiTheme="minorHAnsi" w:hAnsiTheme="minorHAnsi" w:cstheme="minorHAnsi"/>
          <w:color w:val="000000"/>
        </w:rPr>
        <w:t>l’ IL</w:t>
      </w:r>
      <w:proofErr w:type="gramEnd"/>
      <w:r w:rsidRPr="009B483B">
        <w:rPr>
          <w:rFonts w:asciiTheme="minorHAnsi" w:hAnsiTheme="minorHAnsi" w:cstheme="minorHAnsi"/>
          <w:color w:val="000000"/>
        </w:rPr>
        <w:t xml:space="preserve">-6 de la cellule cible et inhibe la transduction (transmission) </w:t>
      </w:r>
      <w:r w:rsidR="00C41FB5" w:rsidRPr="009B483B">
        <w:rPr>
          <w:rFonts w:asciiTheme="minorHAnsi" w:hAnsiTheme="minorHAnsi" w:cstheme="minorHAnsi"/>
          <w:color w:val="000000"/>
        </w:rPr>
        <w:t>du signal provoqué</w:t>
      </w:r>
      <w:r w:rsidR="00C41FB5">
        <w:rPr>
          <w:rFonts w:asciiTheme="minorHAnsi" w:hAnsiTheme="minorHAnsi" w:cstheme="minorHAnsi"/>
          <w:color w:val="000000"/>
        </w:rPr>
        <w:t>e</w:t>
      </w:r>
      <w:r w:rsidRPr="009B483B">
        <w:rPr>
          <w:rFonts w:asciiTheme="minorHAnsi" w:hAnsiTheme="minorHAnsi" w:cstheme="minorHAnsi"/>
          <w:color w:val="000000"/>
        </w:rPr>
        <w:t xml:space="preserve"> par la liaison de l’interleukine 6 au récepteur. Voir schéma ci-après.</w:t>
      </w:r>
    </w:p>
    <w:p w14:paraId="34D96C17" w14:textId="2A19DAF0" w:rsidR="00716C4A" w:rsidRDefault="00716C4A" w:rsidP="002309C9">
      <w:pPr>
        <w:pStyle w:val="NormalWeb"/>
        <w:shd w:val="clear" w:color="auto" w:fill="FFFFFF"/>
        <w:spacing w:before="120" w:beforeAutospacing="0" w:after="240" w:afterAutospacing="0"/>
        <w:jc w:val="both"/>
        <w:rPr>
          <w:rFonts w:ascii="Arial" w:hAnsi="Arial" w:cs="Arial"/>
          <w:color w:val="000000"/>
        </w:rPr>
      </w:pPr>
    </w:p>
    <w:p w14:paraId="3CF0E189" w14:textId="15465FA7" w:rsidR="00716C4A" w:rsidRDefault="00716C4A" w:rsidP="00716C4A">
      <w:pPr>
        <w:pStyle w:val="NormalWeb"/>
        <w:shd w:val="clear" w:color="auto" w:fill="FFFFFF"/>
        <w:spacing w:before="120" w:beforeAutospacing="0" w:after="240" w:afterAutospacing="0"/>
        <w:rPr>
          <w:rFonts w:ascii="Arial" w:hAnsi="Arial" w:cs="Arial"/>
          <w:color w:val="000000"/>
        </w:rPr>
      </w:pPr>
      <w:r>
        <w:rPr>
          <w:noProof/>
        </w:rPr>
        <w:drawing>
          <wp:inline distT="0" distB="0" distL="0" distR="0" wp14:anchorId="2375C277" wp14:editId="3CEE191E">
            <wp:extent cx="6840220" cy="37052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220" cy="3705225"/>
                    </a:xfrm>
                    <a:prstGeom prst="rect">
                      <a:avLst/>
                    </a:prstGeom>
                    <a:noFill/>
                    <a:ln>
                      <a:noFill/>
                    </a:ln>
                  </pic:spPr>
                </pic:pic>
              </a:graphicData>
            </a:graphic>
          </wp:inline>
        </w:drawing>
      </w:r>
    </w:p>
    <w:p w14:paraId="3209B772" w14:textId="77777777" w:rsidR="00716C4A" w:rsidRDefault="00716C4A" w:rsidP="00716C4A">
      <w:pPr>
        <w:pStyle w:val="NormalWeb"/>
        <w:shd w:val="clear" w:color="auto" w:fill="FFFFFF"/>
        <w:spacing w:before="120" w:beforeAutospacing="0" w:after="240" w:afterAutospacing="0"/>
        <w:jc w:val="center"/>
        <w:rPr>
          <w:rFonts w:ascii="Arial" w:hAnsi="Arial" w:cs="Arial"/>
          <w:color w:val="000000"/>
        </w:rPr>
      </w:pPr>
      <w:r>
        <w:rPr>
          <w:rFonts w:ascii="Arial" w:hAnsi="Arial" w:cs="Arial"/>
          <w:color w:val="000000"/>
        </w:rPr>
        <w:t>IL-6 : Interleukine 6                                                                   IL-6 R : Récepteur à l’IL-6</w:t>
      </w:r>
    </w:p>
    <w:p w14:paraId="39CF6815" w14:textId="77777777" w:rsidR="00716C4A" w:rsidRDefault="00716C4A" w:rsidP="00716C4A">
      <w:pPr>
        <w:pStyle w:val="NormalWeb"/>
        <w:shd w:val="clear" w:color="auto" w:fill="FFFFFF"/>
        <w:spacing w:before="120" w:beforeAutospacing="0" w:after="240" w:afterAutospacing="0"/>
        <w:jc w:val="center"/>
        <w:rPr>
          <w:rFonts w:ascii="Arial" w:hAnsi="Arial" w:cs="Arial"/>
          <w:color w:val="000000"/>
        </w:rPr>
      </w:pPr>
      <w:proofErr w:type="gramStart"/>
      <w:r>
        <w:rPr>
          <w:rFonts w:ascii="Arial" w:hAnsi="Arial" w:cs="Arial"/>
          <w:color w:val="000000"/>
        </w:rPr>
        <w:t>gp</w:t>
      </w:r>
      <w:proofErr w:type="gramEnd"/>
      <w:r>
        <w:rPr>
          <w:rFonts w:ascii="Arial" w:hAnsi="Arial" w:cs="Arial"/>
          <w:color w:val="000000"/>
        </w:rPr>
        <w:t>130 : Glycoprotéine 130 intervenant dans la transduction du signal</w:t>
      </w:r>
    </w:p>
    <w:p w14:paraId="47D055A5" w14:textId="60E7917D" w:rsidR="00716C4A" w:rsidRPr="009B483B" w:rsidRDefault="00716C4A" w:rsidP="00716C4A">
      <w:pPr>
        <w:pStyle w:val="NormalWeb"/>
        <w:shd w:val="clear" w:color="auto" w:fill="FFFFFF"/>
        <w:spacing w:before="120" w:beforeAutospacing="0" w:after="240" w:afterAutospacing="0"/>
        <w:rPr>
          <w:rStyle w:val="Accentuation"/>
          <w:rFonts w:asciiTheme="minorHAnsi" w:hAnsiTheme="minorHAnsi" w:cstheme="minorHAnsi"/>
          <w:color w:val="000000"/>
          <w:shd w:val="clear" w:color="auto" w:fill="FFFFFF"/>
        </w:rPr>
      </w:pPr>
      <w:r w:rsidRPr="009B483B">
        <w:rPr>
          <w:rStyle w:val="Accentuation"/>
          <w:rFonts w:asciiTheme="minorHAnsi" w:hAnsiTheme="minorHAnsi" w:cstheme="minorHAnsi"/>
          <w:color w:val="000000"/>
          <w:shd w:val="clear" w:color="auto" w:fill="FFFFFF"/>
        </w:rPr>
        <w:t xml:space="preserve">Schéma réalisé par Laure </w:t>
      </w:r>
      <w:proofErr w:type="spellStart"/>
      <w:r w:rsidRPr="009B483B">
        <w:rPr>
          <w:rStyle w:val="Accentuation"/>
          <w:rFonts w:asciiTheme="minorHAnsi" w:hAnsiTheme="minorHAnsi" w:cstheme="minorHAnsi"/>
          <w:color w:val="000000"/>
          <w:shd w:val="clear" w:color="auto" w:fill="FFFFFF"/>
        </w:rPr>
        <w:t>Willhelm</w:t>
      </w:r>
      <w:proofErr w:type="spellEnd"/>
      <w:r w:rsidRPr="009B483B">
        <w:rPr>
          <w:rStyle w:val="Accentuation"/>
          <w:rFonts w:asciiTheme="minorHAnsi" w:hAnsiTheme="minorHAnsi" w:cstheme="minorHAnsi"/>
          <w:color w:val="000000"/>
          <w:shd w:val="clear" w:color="auto" w:fill="FFFFFF"/>
        </w:rPr>
        <w:t xml:space="preserve">, inspiré de l’article de Pierre </w:t>
      </w:r>
      <w:proofErr w:type="spellStart"/>
      <w:r w:rsidRPr="009B483B">
        <w:rPr>
          <w:rStyle w:val="Accentuation"/>
          <w:rFonts w:asciiTheme="minorHAnsi" w:hAnsiTheme="minorHAnsi" w:cstheme="minorHAnsi"/>
          <w:color w:val="000000"/>
          <w:shd w:val="clear" w:color="auto" w:fill="FFFFFF"/>
        </w:rPr>
        <w:t>Miossec</w:t>
      </w:r>
      <w:proofErr w:type="spellEnd"/>
      <w:r w:rsidRPr="009B483B">
        <w:rPr>
          <w:rStyle w:val="Accentuation"/>
          <w:rFonts w:asciiTheme="minorHAnsi" w:hAnsiTheme="minorHAnsi" w:cstheme="minorHAnsi"/>
          <w:color w:val="000000"/>
          <w:shd w:val="clear" w:color="auto" w:fill="FFFFFF"/>
        </w:rPr>
        <w:t>, </w:t>
      </w:r>
      <w:hyperlink r:id="rId11" w:tgtFrame="_blank" w:history="1">
        <w:r w:rsidRPr="009B483B">
          <w:rPr>
            <w:rStyle w:val="Lienhypertexte"/>
            <w:rFonts w:asciiTheme="minorHAnsi" w:eastAsiaTheme="majorEastAsia" w:hAnsiTheme="minorHAnsi" w:cstheme="minorHAnsi"/>
            <w:i/>
            <w:iCs/>
            <w:bdr w:val="none" w:sz="0" w:space="0" w:color="auto" w:frame="1"/>
            <w:shd w:val="clear" w:color="auto" w:fill="FFFFFF"/>
          </w:rPr>
          <w:t xml:space="preserve">Anti-Cytokine </w:t>
        </w:r>
        <w:proofErr w:type="spellStart"/>
        <w:r w:rsidRPr="009B483B">
          <w:rPr>
            <w:rStyle w:val="Lienhypertexte"/>
            <w:rFonts w:asciiTheme="minorHAnsi" w:eastAsiaTheme="majorEastAsia" w:hAnsiTheme="minorHAnsi" w:cstheme="minorHAnsi"/>
            <w:i/>
            <w:iCs/>
            <w:bdr w:val="none" w:sz="0" w:space="0" w:color="auto" w:frame="1"/>
            <w:shd w:val="clear" w:color="auto" w:fill="FFFFFF"/>
          </w:rPr>
          <w:t>Biotherapies</w:t>
        </w:r>
        <w:proofErr w:type="spellEnd"/>
        <w:r w:rsidRPr="009B483B">
          <w:rPr>
            <w:rStyle w:val="Lienhypertexte"/>
            <w:rFonts w:asciiTheme="minorHAnsi" w:eastAsiaTheme="majorEastAsia" w:hAnsiTheme="minorHAnsi" w:cstheme="minorHAnsi"/>
            <w:i/>
            <w:iCs/>
            <w:bdr w:val="none" w:sz="0" w:space="0" w:color="auto" w:frame="1"/>
            <w:shd w:val="clear" w:color="auto" w:fill="FFFFFF"/>
          </w:rPr>
          <w:t xml:space="preserve"> and </w:t>
        </w:r>
        <w:proofErr w:type="spellStart"/>
        <w:r w:rsidRPr="009B483B">
          <w:rPr>
            <w:rStyle w:val="Lienhypertexte"/>
            <w:rFonts w:asciiTheme="minorHAnsi" w:eastAsiaTheme="majorEastAsia" w:hAnsiTheme="minorHAnsi" w:cstheme="minorHAnsi"/>
            <w:i/>
            <w:iCs/>
            <w:bdr w:val="none" w:sz="0" w:space="0" w:color="auto" w:frame="1"/>
            <w:shd w:val="clear" w:color="auto" w:fill="FFFFFF"/>
          </w:rPr>
          <w:t>Inflammatory</w:t>
        </w:r>
        <w:proofErr w:type="spellEnd"/>
        <w:r w:rsidRPr="009B483B">
          <w:rPr>
            <w:rStyle w:val="Lienhypertexte"/>
            <w:rFonts w:asciiTheme="minorHAnsi" w:eastAsiaTheme="majorEastAsia" w:hAnsiTheme="minorHAnsi" w:cstheme="minorHAnsi"/>
            <w:i/>
            <w:iCs/>
            <w:bdr w:val="none" w:sz="0" w:space="0" w:color="auto" w:frame="1"/>
            <w:shd w:val="clear" w:color="auto" w:fill="FFFFFF"/>
          </w:rPr>
          <w:t xml:space="preserve"> Joint </w:t>
        </w:r>
        <w:proofErr w:type="spellStart"/>
        <w:r w:rsidRPr="009B483B">
          <w:rPr>
            <w:rStyle w:val="Lienhypertexte"/>
            <w:rFonts w:asciiTheme="minorHAnsi" w:eastAsiaTheme="majorEastAsia" w:hAnsiTheme="minorHAnsi" w:cstheme="minorHAnsi"/>
            <w:i/>
            <w:iCs/>
            <w:bdr w:val="none" w:sz="0" w:space="0" w:color="auto" w:frame="1"/>
            <w:shd w:val="clear" w:color="auto" w:fill="FFFFFF"/>
          </w:rPr>
          <w:t>Diseases</w:t>
        </w:r>
        <w:proofErr w:type="spellEnd"/>
      </w:hyperlink>
      <w:r w:rsidRPr="009B483B">
        <w:rPr>
          <w:rStyle w:val="Accentuation"/>
          <w:rFonts w:asciiTheme="minorHAnsi" w:hAnsiTheme="minorHAnsi" w:cstheme="minorHAnsi"/>
          <w:color w:val="000000"/>
          <w:shd w:val="clear" w:color="auto" w:fill="FFFFFF"/>
        </w:rPr>
        <w:t xml:space="preserve">. International Journal of </w:t>
      </w:r>
      <w:proofErr w:type="spellStart"/>
      <w:r w:rsidRPr="009B483B">
        <w:rPr>
          <w:rStyle w:val="Accentuation"/>
          <w:rFonts w:asciiTheme="minorHAnsi" w:hAnsiTheme="minorHAnsi" w:cstheme="minorHAnsi"/>
          <w:color w:val="000000"/>
          <w:shd w:val="clear" w:color="auto" w:fill="FFFFFF"/>
        </w:rPr>
        <w:t>Medecine</w:t>
      </w:r>
      <w:proofErr w:type="spellEnd"/>
      <w:r w:rsidRPr="009B483B">
        <w:rPr>
          <w:rStyle w:val="Accentuation"/>
          <w:rFonts w:asciiTheme="minorHAnsi" w:hAnsiTheme="minorHAnsi" w:cstheme="minorHAnsi"/>
          <w:color w:val="000000"/>
          <w:shd w:val="clear" w:color="auto" w:fill="FFFFFF"/>
        </w:rPr>
        <w:t xml:space="preserve"> and </w:t>
      </w:r>
      <w:proofErr w:type="spellStart"/>
      <w:r w:rsidRPr="009B483B">
        <w:rPr>
          <w:rStyle w:val="Accentuation"/>
          <w:rFonts w:asciiTheme="minorHAnsi" w:hAnsiTheme="minorHAnsi" w:cstheme="minorHAnsi"/>
          <w:color w:val="000000"/>
          <w:shd w:val="clear" w:color="auto" w:fill="FFFFFF"/>
        </w:rPr>
        <w:t>Surgery</w:t>
      </w:r>
      <w:proofErr w:type="spellEnd"/>
      <w:r w:rsidRPr="009B483B">
        <w:rPr>
          <w:rStyle w:val="Accentuation"/>
          <w:rFonts w:asciiTheme="minorHAnsi" w:hAnsiTheme="minorHAnsi" w:cstheme="minorHAnsi"/>
          <w:color w:val="000000"/>
          <w:shd w:val="clear" w:color="auto" w:fill="FFFFFF"/>
        </w:rPr>
        <w:t>. 2017.</w:t>
      </w:r>
    </w:p>
    <w:p w14:paraId="2EC558BB" w14:textId="77777777" w:rsidR="00716C4A" w:rsidRPr="00716C4A" w:rsidRDefault="00716C4A" w:rsidP="00716C4A">
      <w:pPr>
        <w:pStyle w:val="NormalWeb"/>
        <w:shd w:val="clear" w:color="auto" w:fill="FFFFFF"/>
        <w:spacing w:before="120" w:beforeAutospacing="0" w:after="240" w:afterAutospacing="0"/>
        <w:rPr>
          <w:rFonts w:ascii="Arial" w:hAnsi="Arial" w:cs="Arial"/>
          <w:color w:val="000000"/>
        </w:rPr>
      </w:pPr>
    </w:p>
    <w:p w14:paraId="6709D752" w14:textId="2B62FECD" w:rsidR="004E2CFF" w:rsidRDefault="004E2CFF" w:rsidP="00123FDA">
      <w:pPr>
        <w:rPr>
          <w:rFonts w:cstheme="minorHAnsi"/>
          <w:b/>
          <w:bCs/>
        </w:rPr>
      </w:pPr>
    </w:p>
    <w:p w14:paraId="7E9742E9" w14:textId="33E2554F" w:rsidR="002A4B13" w:rsidRDefault="002A4B13" w:rsidP="00123FDA">
      <w:pPr>
        <w:rPr>
          <w:rFonts w:cstheme="minorHAnsi"/>
          <w:b/>
          <w:bCs/>
        </w:rPr>
      </w:pPr>
    </w:p>
    <w:p w14:paraId="072DFF82" w14:textId="362AEC18" w:rsidR="00F709AC" w:rsidRDefault="00F709AC" w:rsidP="00744BA5">
      <w:pPr>
        <w:rPr>
          <w:rFonts w:cstheme="minorHAnsi"/>
          <w:b/>
          <w:bCs/>
        </w:rPr>
      </w:pPr>
    </w:p>
    <w:p w14:paraId="161557AD" w14:textId="7391FBDD" w:rsidR="00F709AC" w:rsidRDefault="00F709AC" w:rsidP="00744BA5">
      <w:pPr>
        <w:rPr>
          <w:rFonts w:cstheme="minorHAnsi"/>
          <w:b/>
          <w:bCs/>
        </w:rPr>
      </w:pPr>
    </w:p>
    <w:p w14:paraId="7B95CA64" w14:textId="743504AA" w:rsidR="00417205" w:rsidRDefault="00417205" w:rsidP="00744BA5">
      <w:pPr>
        <w:rPr>
          <w:rFonts w:cstheme="minorHAnsi"/>
          <w:b/>
          <w:bCs/>
        </w:rPr>
      </w:pPr>
    </w:p>
    <w:p w14:paraId="504472D8" w14:textId="7E7373F6" w:rsidR="004E5210" w:rsidRDefault="004E5210" w:rsidP="00744BA5">
      <w:pPr>
        <w:rPr>
          <w:rFonts w:cstheme="minorHAnsi"/>
          <w:b/>
          <w:bCs/>
        </w:rPr>
      </w:pPr>
    </w:p>
    <w:p w14:paraId="4BD5211B" w14:textId="77777777" w:rsidR="004617C2" w:rsidRPr="00747079" w:rsidRDefault="004617C2">
      <w:pPr>
        <w:rPr>
          <w:rFonts w:ascii="Arial" w:hAnsi="Arial" w:cs="Arial"/>
        </w:rPr>
      </w:pPr>
    </w:p>
    <w:sectPr w:rsidR="004617C2" w:rsidRPr="00747079" w:rsidSect="0074707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651"/>
    <w:multiLevelType w:val="hybridMultilevel"/>
    <w:tmpl w:val="26AE5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D36CFB"/>
    <w:multiLevelType w:val="hybridMultilevel"/>
    <w:tmpl w:val="1DBE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3275846">
    <w:abstractNumId w:val="1"/>
  </w:num>
  <w:num w:numId="2" w16cid:durableId="142869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79"/>
    <w:rsid w:val="00000B5B"/>
    <w:rsid w:val="00022740"/>
    <w:rsid w:val="000348A8"/>
    <w:rsid w:val="000845CF"/>
    <w:rsid w:val="00094132"/>
    <w:rsid w:val="000E5675"/>
    <w:rsid w:val="000E6655"/>
    <w:rsid w:val="000F014C"/>
    <w:rsid w:val="00110F05"/>
    <w:rsid w:val="001127C8"/>
    <w:rsid w:val="001139FB"/>
    <w:rsid w:val="00123FDA"/>
    <w:rsid w:val="0012552C"/>
    <w:rsid w:val="00133756"/>
    <w:rsid w:val="00157B88"/>
    <w:rsid w:val="00167CAF"/>
    <w:rsid w:val="00194D7E"/>
    <w:rsid w:val="001D3CDC"/>
    <w:rsid w:val="00200C03"/>
    <w:rsid w:val="002309C9"/>
    <w:rsid w:val="002343A0"/>
    <w:rsid w:val="002432F0"/>
    <w:rsid w:val="002A4B13"/>
    <w:rsid w:val="002C639D"/>
    <w:rsid w:val="003620A7"/>
    <w:rsid w:val="00366E02"/>
    <w:rsid w:val="003A7E54"/>
    <w:rsid w:val="003B3B7D"/>
    <w:rsid w:val="003B48C0"/>
    <w:rsid w:val="003C42E1"/>
    <w:rsid w:val="003D3270"/>
    <w:rsid w:val="003E4B23"/>
    <w:rsid w:val="003F4D0C"/>
    <w:rsid w:val="00417205"/>
    <w:rsid w:val="00455961"/>
    <w:rsid w:val="004617C2"/>
    <w:rsid w:val="004C0BD3"/>
    <w:rsid w:val="004E2CFF"/>
    <w:rsid w:val="004E5210"/>
    <w:rsid w:val="00515437"/>
    <w:rsid w:val="00560A51"/>
    <w:rsid w:val="00560EAF"/>
    <w:rsid w:val="00584799"/>
    <w:rsid w:val="00651CA8"/>
    <w:rsid w:val="00686816"/>
    <w:rsid w:val="00696BF0"/>
    <w:rsid w:val="006974F3"/>
    <w:rsid w:val="006F69DF"/>
    <w:rsid w:val="00713138"/>
    <w:rsid w:val="00716C4A"/>
    <w:rsid w:val="00716DA6"/>
    <w:rsid w:val="007369DD"/>
    <w:rsid w:val="00744BA5"/>
    <w:rsid w:val="00747079"/>
    <w:rsid w:val="00766E5F"/>
    <w:rsid w:val="0079091C"/>
    <w:rsid w:val="007B5647"/>
    <w:rsid w:val="007B5945"/>
    <w:rsid w:val="0081683B"/>
    <w:rsid w:val="0085018A"/>
    <w:rsid w:val="008B0AA2"/>
    <w:rsid w:val="008E4FBC"/>
    <w:rsid w:val="009356EC"/>
    <w:rsid w:val="0093660B"/>
    <w:rsid w:val="00947105"/>
    <w:rsid w:val="00960EFE"/>
    <w:rsid w:val="00973E7D"/>
    <w:rsid w:val="009B483B"/>
    <w:rsid w:val="009C1C49"/>
    <w:rsid w:val="009D3A42"/>
    <w:rsid w:val="00A047F9"/>
    <w:rsid w:val="00A06A0F"/>
    <w:rsid w:val="00A7463A"/>
    <w:rsid w:val="00A87991"/>
    <w:rsid w:val="00A9783B"/>
    <w:rsid w:val="00AE2799"/>
    <w:rsid w:val="00AF1B0D"/>
    <w:rsid w:val="00B02C1B"/>
    <w:rsid w:val="00B06601"/>
    <w:rsid w:val="00B20902"/>
    <w:rsid w:val="00B834F6"/>
    <w:rsid w:val="00B94335"/>
    <w:rsid w:val="00BB0067"/>
    <w:rsid w:val="00BB47E7"/>
    <w:rsid w:val="00BD4F23"/>
    <w:rsid w:val="00BF59AB"/>
    <w:rsid w:val="00BF6ACB"/>
    <w:rsid w:val="00C02981"/>
    <w:rsid w:val="00C14D6E"/>
    <w:rsid w:val="00C41FB5"/>
    <w:rsid w:val="00CB2F62"/>
    <w:rsid w:val="00CF517B"/>
    <w:rsid w:val="00CF554B"/>
    <w:rsid w:val="00D25A40"/>
    <w:rsid w:val="00D35F35"/>
    <w:rsid w:val="00D63988"/>
    <w:rsid w:val="00D65CC2"/>
    <w:rsid w:val="00D862D0"/>
    <w:rsid w:val="00D913D1"/>
    <w:rsid w:val="00DA5756"/>
    <w:rsid w:val="00DF79D0"/>
    <w:rsid w:val="00E433A5"/>
    <w:rsid w:val="00E87B07"/>
    <w:rsid w:val="00EA6D6B"/>
    <w:rsid w:val="00EE4698"/>
    <w:rsid w:val="00F2516D"/>
    <w:rsid w:val="00F44DE9"/>
    <w:rsid w:val="00F469F6"/>
    <w:rsid w:val="00F709AC"/>
    <w:rsid w:val="00F72873"/>
    <w:rsid w:val="00F83C85"/>
    <w:rsid w:val="00F947F3"/>
    <w:rsid w:val="00FC6C72"/>
    <w:rsid w:val="00FF4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F1E8"/>
  <w15:chartTrackingRefBased/>
  <w15:docId w15:val="{9F47FF45-D54E-4FB9-854F-8AAB042B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1543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716C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2873"/>
    <w:pPr>
      <w:ind w:left="720"/>
      <w:contextualSpacing/>
    </w:pPr>
  </w:style>
  <w:style w:type="character" w:customStyle="1" w:styleId="Titre2Car">
    <w:name w:val="Titre 2 Car"/>
    <w:basedOn w:val="Policepardfaut"/>
    <w:link w:val="Titre2"/>
    <w:uiPriority w:val="9"/>
    <w:rsid w:val="00515437"/>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semiHidden/>
    <w:rsid w:val="00716C4A"/>
    <w:rPr>
      <w:rFonts w:asciiTheme="majorHAnsi" w:eastAsiaTheme="majorEastAsia" w:hAnsiTheme="majorHAnsi" w:cstheme="majorBidi"/>
      <w:i/>
      <w:iCs/>
      <w:color w:val="2F5496" w:themeColor="accent1" w:themeShade="BF"/>
    </w:rPr>
  </w:style>
  <w:style w:type="character" w:styleId="lev">
    <w:name w:val="Strong"/>
    <w:basedOn w:val="Policepardfaut"/>
    <w:uiPriority w:val="22"/>
    <w:qFormat/>
    <w:rsid w:val="00716C4A"/>
    <w:rPr>
      <w:b/>
      <w:bCs/>
    </w:rPr>
  </w:style>
  <w:style w:type="paragraph" w:styleId="NormalWeb">
    <w:name w:val="Normal (Web)"/>
    <w:basedOn w:val="Normal"/>
    <w:uiPriority w:val="99"/>
    <w:unhideWhenUsed/>
    <w:rsid w:val="00716C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16C4A"/>
    <w:rPr>
      <w:i/>
      <w:iCs/>
    </w:rPr>
  </w:style>
  <w:style w:type="character" w:styleId="Lienhypertexte">
    <w:name w:val="Hyperlink"/>
    <w:basedOn w:val="Policepardfaut"/>
    <w:uiPriority w:val="99"/>
    <w:semiHidden/>
    <w:unhideWhenUsed/>
    <w:rsid w:val="00716C4A"/>
    <w:rPr>
      <w:color w:val="0000FF"/>
      <w:u w:val="single"/>
    </w:rPr>
  </w:style>
  <w:style w:type="paragraph" w:customStyle="1" w:styleId="Default">
    <w:name w:val="Default"/>
    <w:rsid w:val="000E567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55260">
      <w:bodyDiv w:val="1"/>
      <w:marLeft w:val="0"/>
      <w:marRight w:val="0"/>
      <w:marTop w:val="0"/>
      <w:marBottom w:val="0"/>
      <w:divBdr>
        <w:top w:val="none" w:sz="0" w:space="0" w:color="auto"/>
        <w:left w:val="none" w:sz="0" w:space="0" w:color="auto"/>
        <w:bottom w:val="none" w:sz="0" w:space="0" w:color="auto"/>
        <w:right w:val="none" w:sz="0" w:space="0" w:color="auto"/>
      </w:divBdr>
    </w:div>
    <w:div w:id="716780086">
      <w:bodyDiv w:val="1"/>
      <w:marLeft w:val="0"/>
      <w:marRight w:val="0"/>
      <w:marTop w:val="0"/>
      <w:marBottom w:val="0"/>
      <w:divBdr>
        <w:top w:val="none" w:sz="0" w:space="0" w:color="auto"/>
        <w:left w:val="none" w:sz="0" w:space="0" w:color="auto"/>
        <w:bottom w:val="none" w:sz="0" w:space="0" w:color="auto"/>
        <w:right w:val="none" w:sz="0" w:space="0" w:color="auto"/>
      </w:divBdr>
    </w:div>
    <w:div w:id="1081562006">
      <w:bodyDiv w:val="1"/>
      <w:marLeft w:val="0"/>
      <w:marRight w:val="0"/>
      <w:marTop w:val="0"/>
      <w:marBottom w:val="0"/>
      <w:divBdr>
        <w:top w:val="none" w:sz="0" w:space="0" w:color="auto"/>
        <w:left w:val="none" w:sz="0" w:space="0" w:color="auto"/>
        <w:bottom w:val="none" w:sz="0" w:space="0" w:color="auto"/>
        <w:right w:val="none" w:sz="0" w:space="0" w:color="auto"/>
      </w:divBdr>
    </w:div>
    <w:div w:id="1237322835">
      <w:bodyDiv w:val="1"/>
      <w:marLeft w:val="0"/>
      <w:marRight w:val="0"/>
      <w:marTop w:val="0"/>
      <w:marBottom w:val="0"/>
      <w:divBdr>
        <w:top w:val="none" w:sz="0" w:space="0" w:color="auto"/>
        <w:left w:val="none" w:sz="0" w:space="0" w:color="auto"/>
        <w:bottom w:val="none" w:sz="0" w:space="0" w:color="auto"/>
        <w:right w:val="none" w:sz="0" w:space="0" w:color="auto"/>
      </w:divBdr>
    </w:div>
    <w:div w:id="1485857129">
      <w:bodyDiv w:val="1"/>
      <w:marLeft w:val="0"/>
      <w:marRight w:val="0"/>
      <w:marTop w:val="0"/>
      <w:marBottom w:val="0"/>
      <w:divBdr>
        <w:top w:val="none" w:sz="0" w:space="0" w:color="auto"/>
        <w:left w:val="none" w:sz="0" w:space="0" w:color="auto"/>
        <w:bottom w:val="none" w:sz="0" w:space="0" w:color="auto"/>
        <w:right w:val="none" w:sz="0" w:space="0" w:color="auto"/>
      </w:divBdr>
    </w:div>
    <w:div w:id="1676878634">
      <w:bodyDiv w:val="1"/>
      <w:marLeft w:val="0"/>
      <w:marRight w:val="0"/>
      <w:marTop w:val="0"/>
      <w:marBottom w:val="0"/>
      <w:divBdr>
        <w:top w:val="none" w:sz="0" w:space="0" w:color="auto"/>
        <w:left w:val="none" w:sz="0" w:space="0" w:color="auto"/>
        <w:bottom w:val="none" w:sz="0" w:space="0" w:color="auto"/>
        <w:right w:val="none" w:sz="0" w:space="0" w:color="auto"/>
      </w:divBdr>
    </w:div>
    <w:div w:id="1772436136">
      <w:bodyDiv w:val="1"/>
      <w:marLeft w:val="0"/>
      <w:marRight w:val="0"/>
      <w:marTop w:val="0"/>
      <w:marBottom w:val="0"/>
      <w:divBdr>
        <w:top w:val="none" w:sz="0" w:space="0" w:color="auto"/>
        <w:left w:val="none" w:sz="0" w:space="0" w:color="auto"/>
        <w:bottom w:val="none" w:sz="0" w:space="0" w:color="auto"/>
        <w:right w:val="none" w:sz="0" w:space="0" w:color="auto"/>
      </w:divBdr>
    </w:div>
    <w:div w:id="2016496189">
      <w:bodyDiv w:val="1"/>
      <w:marLeft w:val="0"/>
      <w:marRight w:val="0"/>
      <w:marTop w:val="0"/>
      <w:marBottom w:val="0"/>
      <w:divBdr>
        <w:top w:val="none" w:sz="0" w:space="0" w:color="auto"/>
        <w:left w:val="none" w:sz="0" w:space="0" w:color="auto"/>
        <w:bottom w:val="none" w:sz="0" w:space="0" w:color="auto"/>
        <w:right w:val="none" w:sz="0" w:space="0" w:color="auto"/>
      </w:divBdr>
    </w:div>
    <w:div w:id="2047947634">
      <w:bodyDiv w:val="1"/>
      <w:marLeft w:val="0"/>
      <w:marRight w:val="0"/>
      <w:marTop w:val="0"/>
      <w:marBottom w:val="0"/>
      <w:divBdr>
        <w:top w:val="none" w:sz="0" w:space="0" w:color="auto"/>
        <w:left w:val="none" w:sz="0" w:space="0" w:color="auto"/>
        <w:bottom w:val="none" w:sz="0" w:space="0" w:color="auto"/>
        <w:right w:val="none" w:sz="0" w:space="0" w:color="auto"/>
      </w:divBdr>
    </w:div>
    <w:div w:id="20993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ciencedirect.com/science/article/abs/pii/S092485792030104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searchgate.net/publication/316820109_Anti-Cytokine_Biotherapies_and_Inflammatory_Joint_Diseases"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sciencedirect.com/science/article/abs/pii/S09248579203010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6F387-339F-476D-97BE-82B2A4F6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3613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dc:creator>
  <cp:keywords/>
  <dc:description/>
  <cp:lastModifiedBy>somike</cp:lastModifiedBy>
  <cp:revision>2</cp:revision>
  <dcterms:created xsi:type="dcterms:W3CDTF">2023-02-08T08:38:00Z</dcterms:created>
  <dcterms:modified xsi:type="dcterms:W3CDTF">2023-02-08T08:38:00Z</dcterms:modified>
</cp:coreProperties>
</file>