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40"/>
      </w:pPr>
    </w:p>
    <w:p>
      <w:pPr>
        <w:pBdr>
          <w:bottom w:val="single" w:color="4A235A" w:sz="8" w:space="4"/>
        </w:pBdr>
        <w:spacing w:before="0" w:after="80"/>
        <w:jc w:val="center"/>
      </w:pPr>
      <w:r>
        <w:rPr>
          <w:rFonts w:ascii="Arial" w:cs="Arial" w:eastAsia="Arial" w:hAnsi="Arial"/>
          <w:b/>
          <w:bCs/>
          <w:color w:val="4A235A"/>
          <w:sz w:val="30"/>
          <w:szCs w:val="30"/>
        </w:rPr>
        <w:t xml:space="preserve">CORRIGÉ — TP : Fonctionnement de l'appareil reproducteur féminin</w:t>
      </w:r>
    </w:p>
    <w:p>
      <w:pPr>
        <w:spacing w:before="40" w:after="40"/>
        <w:jc w:val="center"/>
      </w:pPr>
      <w:r>
        <w:rPr>
          <w:rFonts w:ascii="Arial" w:cs="Arial" w:eastAsia="Arial" w:hAnsi="Arial"/>
          <w:b w:val="false"/>
          <w:bCs w:val="false"/>
          <w:color w:val="555555"/>
          <w:sz w:val="19"/>
          <w:szCs w:val="19"/>
        </w:rPr>
        <w:t xml:space="preserve">Problématique : Comment les activités cycliques de l'ovaire et de l'utérus sont-elles synchronisées ?</w:t>
      </w:r>
    </w:p>
    <w:p>
      <w:pPr>
        <w:spacing w:before="80" w:after="40"/>
      </w:pPr>
    </w:p>
    <w:p>
      <w:pPr>
        <w:pBdr>
          <w:bottom w:val="single" w:color="4A235A" w:sz="8" w:space="4"/>
        </w:pBdr>
        <w:spacing w:before="200" w:after="100"/>
        <w:jc w:val="left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PARTIE 1 — LES ACTIVITÉS CYCLIQUES DE L'UTÉRUS ET DE L'OVAIRE</w:t>
      </w:r>
    </w:p>
    <w:p>
      <w:pPr>
        <w:spacing w:before="40" w:after="20"/>
      </w:pPr>
    </w:p>
    <w:p>
      <w:pPr>
        <w:pBdr>
          <w:left w:val="single" w:color="4A235A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4A235A"/>
          <w:sz w:val="22"/>
          <w:szCs w:val="22"/>
        </w:rPr>
        <w:t xml:space="preserve">  Activité 1 — L'activité cyclique de l'utérus</w:t>
      </w:r>
    </w:p>
    <w:p>
      <w:pPr>
        <w:spacing w:before="20" w:after="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1-1. Comparaison des deux coupes de muqueuse utérine :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4A235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Réponse attendue — Tableau comparatif</w:t>
            </w:r>
          </w:p>
        </w:tc>
      </w:tr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EDD9F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  <w:gridCol w:w="6360"/>
            </w:tblGrid>
            <w:tr>
              <w:tc>
                <w:tcPr>
                  <w:tcW w:type="dxa" w:w="30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Points communs</w:t>
                  </w:r>
                </w:p>
              </w:tc>
              <w:tc>
                <w:tcPr>
                  <w:tcW w:type="dxa" w:w="6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— Présence d'une couche de cellules épithéliales en surface
— Présence de glandes utérines
— Présence de vaisseaux sanguins</w:t>
                  </w:r>
                </w:p>
              </w:tc>
            </w:tr>
          </w:tbl>
          <w:p>
            <w:pPr>
              <w:spacing w:before="2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40"/>
              <w:gridCol w:w="3360"/>
              <w:gridCol w:w="3360"/>
            </w:tblGrid>
            <w:tr>
              <w:trPr>
                <w:tblHeader/>
              </w:trPr>
              <w:tc>
                <w:tcPr>
                  <w:tcW w:type="dxa" w:w="224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9"/>
                      <w:szCs w:val="19"/>
                    </w:rPr>
                    <w:t xml:space="preserve">Caractère</w:t>
                  </w:r>
                </w:p>
              </w:tc>
              <w:tc>
                <w:tcPr>
                  <w:tcW w:type="dxa" w:w="336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9"/>
                      <w:szCs w:val="19"/>
                    </w:rPr>
                    <w:t xml:space="preserve">4e jour (après règles)</w:t>
                  </w:r>
                </w:p>
              </w:tc>
              <w:tc>
                <w:tcPr>
                  <w:tcW w:type="dxa" w:w="336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9"/>
                      <w:szCs w:val="19"/>
                    </w:rPr>
                    <w:t xml:space="preserve">23e jour (phase sécrétoire)</w:t>
                  </w:r>
                </w:p>
              </w:tc>
            </w:tr>
            <w:tr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Épaisseur</w:t>
                  </w:r>
                </w:p>
              </w:tc>
              <w:tc>
                <w:tcPr>
                  <w:tcW w:type="dxa" w:w="3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Mince (muqueuse en reconstruction)</w:t>
                  </w:r>
                </w:p>
              </w:tc>
              <w:tc>
                <w:tcPr>
                  <w:tcW w:type="dxa" w:w="3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Épaisse (muqueuse développée)</w:t>
                  </w:r>
                </w:p>
              </w:tc>
            </w:tr>
            <w:tr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Glandes</w:t>
                  </w:r>
                </w:p>
              </w:tc>
              <w:tc>
                <w:tcPr>
                  <w:tcW w:type="dxa" w:w="3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Peu développées, petites</w:t>
                  </w:r>
                </w:p>
              </w:tc>
              <w:tc>
                <w:tcPr>
                  <w:tcW w:type="dxa" w:w="3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Très développées, sinueuses, sécrétoires</w:t>
                  </w:r>
                </w:p>
              </w:tc>
            </w:tr>
            <w:tr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Vascularisation</w:t>
                  </w:r>
                </w:p>
              </w:tc>
              <w:tc>
                <w:tcPr>
                  <w:tcW w:type="dxa" w:w="3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Peu vascularisée</w:t>
                  </w:r>
                </w:p>
              </w:tc>
              <w:tc>
                <w:tcPr>
                  <w:tcW w:type="dxa" w:w="33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Richement vascularisée (artères spiralées)</w:t>
                  </w:r>
                </w:p>
              </w:tc>
            </w:tr>
          </w:tbl>
          <w:p/>
        </w:tc>
      </w:tr>
    </w:tbl>
    <w:p>
      <w:pPr>
        <w:spacing w:before="40" w:after="2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1-2. Moment propice à l'accueil d'un embryon :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C'est au 23e jour du cycle (fin de phase lutéale) que l'utérus est le mieux préparé pour accueillir un embryon.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En effet, à ce moment, la muqueuse utérine (endomètre) est épaisse, richement vascularisée et dotée de glandes sécrétoires. Ces caractéristiques permettent l'implantation (nidation) de l'embryon et son alimentation.</w:t>
      </w:r>
    </w:p>
    <w:p>
      <w:pPr>
        <w:spacing w:before="80" w:after="40"/>
      </w:pPr>
    </w:p>
    <w:p>
      <w:pPr>
        <w:pBdr>
          <w:left w:val="single" w:color="4A235A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4A235A"/>
          <w:sz w:val="22"/>
          <w:szCs w:val="22"/>
        </w:rPr>
        <w:t xml:space="preserve">  Activité 2 — L'activité cyclique de l'ovaire</w:t>
      </w:r>
    </w:p>
    <w:p>
      <w:pPr>
        <w:spacing w:before="20" w:after="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2-1 et 2-2. Identification des follicules :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4A235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Types de follicules à identifier (Doc 2, 3)</w:t>
            </w:r>
          </w:p>
        </w:tc>
      </w:tr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EDD9F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Follicule primordial/primaire : très petit, sans cavité, ovocyte entouré de peu de cellules folliculaires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Follicule secondaire (en croissance) : plusieurs couches de cellules folliculaires, pas encore de cavité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Follicule tertiaire / antral : apparition d'une cavité remplie de liquide folliculaire (antrum)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Follicule de De Graaf (mûr) : grand, cavité volumineuse, ovocyte refoulé sur le côté — c'est le follicule le plus proche de la maturité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Corps jaune : structure jaunâtre formée après la rupture du follicule mûr et l'ovulation</w:t>
            </w:r>
          </w:p>
          <w:p>
            <w:pPr>
              <w:spacing w:before="20" w:after="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Légende du follicule mûr (MO ×400)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Ovocyte : grande cellule centrale (futur gamète féminin)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Cavité folliculaire (antrum) : espace rempli de liquide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Cellules folliculaires (granulosa) : couche de petites cellules entourant l'ovocyte</w:t>
            </w:r>
          </w:p>
        </w:tc>
      </w:tr>
    </w:tbl>
    <w:p>
      <w:pPr>
        <w:spacing w:before="40" w:after="2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2-3. Le cycle ovarien — Réponse :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On parle de « cycle ovarien » car l'ovaire présente des modifications structurales et fonctionnelles qui se répètent environ toutes les 28 jours.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Le cycle ovarien comporte deux phases :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Phase folliculaire (J1 à J14) : croissance et maturation d'un follicule jusqu'au follicule de De Graaf. L'ovaire sécrète des œstrogènes en quantité croissante. Elle se termine par l'ovulation (J14).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Phase lutéale (J14 à J28) : après l'ovulation, le follicule se transforme en corps jaune qui sécrète progestérone + œstrogènes. Si pas de fécondation, le corps jaune dégénère → chute des hormones → règles.</w:t>
      </w:r>
    </w:p>
    <w:p>
      <w:pPr>
        <w:spacing w:before="80" w:after="40"/>
      </w:pPr>
    </w:p>
    <w:p>
      <w:pPr>
        <w:pBdr>
          <w:left w:val="single" w:color="4A235A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4A235A"/>
          <w:sz w:val="22"/>
          <w:szCs w:val="22"/>
        </w:rPr>
        <w:t xml:space="preserve">  Bilan Partie 1 — Correspondances cycle ovarien / cycle utérin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4A235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Réponse : cases du Doc 5 à relier au Doc 4</w:t>
            </w:r>
          </w:p>
        </w:tc>
      </w:tr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EDD9F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Les lettres correspondent aux stades suivants (exemples de correspondances attendues)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a) → Phase folliculaire précoce : muqueuse mince, follicules en croissance, faibles taux d'œstrogènes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b) → Fin de phase folliculaire : pic d'œstrogènes → déclenchement ovulation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c) → Ovulation (J14) : libération de l'ovocyte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d) → Phase lutéale : corps jaune actif, sécrétion de progestérone → muqueuse épaisse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e) → Fin de phase lutéale : chute des hormones ovariennes si pas de fécondation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f) → Règles (menstruation) : destruction de la muqueuse utérine → début d'un nouveau cycle</w:t>
            </w:r>
          </w:p>
        </w:tc>
      </w:tr>
    </w:tbl>
    <w:p>
      <w:pPr>
        <w:spacing w:before="80" w:after="40"/>
      </w:pPr>
    </w:p>
    <w:p>
      <w:pPr>
        <w:pBdr>
          <w:bottom w:val="single" w:color="4A235A" w:sz="8" w:space="4"/>
        </w:pBdr>
        <w:spacing w:before="200" w:after="100"/>
        <w:jc w:val="left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PARTIE 2 — LA RÉGULATION DU CYCLE FÉMININ</w:t>
      </w:r>
    </w:p>
    <w:p>
      <w:pPr>
        <w:spacing w:before="40" w:after="20"/>
      </w:pPr>
    </w:p>
    <w:p>
      <w:pPr>
        <w:pBdr>
          <w:left w:val="single" w:color="4A235A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4A235A"/>
          <w:sz w:val="22"/>
          <w:szCs w:val="22"/>
        </w:rPr>
        <w:t xml:space="preserve">  Activité 3 — Le contrôle du cycle utérin par les ovaires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4A235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Tableau — Résultats et conclusion (Doc 6)</w:t>
            </w:r>
          </w:p>
        </w:tc>
      </w:tr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EDD9F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40"/>
              <w:gridCol w:w="2240"/>
              <w:gridCol w:w="2240"/>
              <w:gridCol w:w="2240"/>
            </w:tblGrid>
            <w:tr>
              <w:trPr>
                <w:tblHeader/>
              </w:trPr>
              <w:tc>
                <w:tcPr>
                  <w:tcW w:type="dxa" w:w="224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7"/>
                      <w:szCs w:val="17"/>
                    </w:rPr>
                    <w:t xml:space="preserve">Témoin</w:t>
                  </w:r>
                </w:p>
              </w:tc>
              <w:tc>
                <w:tcPr>
                  <w:tcW w:type="dxa" w:w="224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7"/>
                      <w:szCs w:val="17"/>
                    </w:rPr>
                    <w:t xml:space="preserve">Ablation des ovaires</w:t>
                  </w:r>
                </w:p>
              </w:tc>
              <w:tc>
                <w:tcPr>
                  <w:tcW w:type="dxa" w:w="224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7"/>
                      <w:szCs w:val="17"/>
                    </w:rPr>
                    <w:t xml:space="preserve">Ablation + greffe ovaires</w:t>
                  </w:r>
                </w:p>
              </w:tc>
              <w:tc>
                <w:tcPr>
                  <w:tcW w:type="dxa" w:w="224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7"/>
                      <w:szCs w:val="17"/>
                    </w:rPr>
                    <w:t xml:space="preserve">Ablation + injection extraits ovariens</w:t>
                  </w:r>
                </w:p>
              </w:tc>
            </w:tr>
            <w:tr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Cycle utérin normal</w:t>
                  </w:r>
                </w:p>
              </w:tc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Cycle utérin absent (endomètre atrophié)</w:t>
                  </w:r>
                </w:p>
              </w:tc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Cycle utérin restauré</w:t>
                  </w:r>
                </w:p>
              </w:tc>
              <w:tc>
                <w:tcPr>
                  <w:tcW w:type="dxa" w:w="224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Cycle utérin restauré</w:t>
                  </w:r>
                </w:p>
              </w:tc>
            </w:tr>
          </w:tbl>
          <w:p>
            <w:pPr>
              <w:spacing w:before="40" w:after="2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Conclusion :</w:t>
            </w:r>
          </w:p>
          <w:p>
            <w:pPr>
              <w:spacing w:before="40" w:after="40"/>
              <w:jc w:val="left"/>
            </w:pP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✔ </w:t>
            </w:r>
            <w:r>
              <w:rPr>
                <w:rFonts w:ascii="Arial" w:cs="Arial" w:eastAsia="Arial" w:hAnsi="Arial"/>
                <w:b w:val="false"/>
                <w:bCs w:val="false"/>
                <w:color w:val="1A4F7B"/>
                <w:sz w:val="20"/>
                <w:szCs w:val="20"/>
              </w:rPr>
              <w:t xml:space="preserve">Les ovaires contrôlent le cycle utérin par voie hormonale. En leur absence, l'endomètre n'évolue plus. La greffe d'ovaires ou l'injection d'extraits ovariens suffisent à restaurer le cycle → les ovaires produisent des substances chimiques (hormones) qui agissent à distance sur l'utérus.</w:t>
            </w:r>
          </w:p>
        </w:tc>
      </w:tr>
    </w:tbl>
    <w:p>
      <w:pPr>
        <w:spacing w:before="80" w:after="40"/>
      </w:pPr>
    </w:p>
    <w:p>
      <w:pPr>
        <w:pBdr>
          <w:left w:val="single" w:color="4A235A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4A235A"/>
          <w:sz w:val="22"/>
          <w:szCs w:val="22"/>
        </w:rPr>
        <w:t xml:space="preserve">  Activité 4 — Hormones ovariennes et muqueuse utérine</w:t>
      </w:r>
    </w:p>
    <w:p>
      <w:pPr>
        <w:spacing w:before="20" w:after="0"/>
      </w:pP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Les hormones ovariennes agissent sur la muqueuse utérine en se fixant sur leurs récepteurs spécifiques (cellules cibles).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Les œstrogènes (sécrétés par le follicule en phase folliculaire) : stimulent la prolifération et l'épaississement de l'endomètre.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La progestérone (sécrétée par le corps jaune en phase lutéale) : permet la maturation de l'endomètre → glandes sécrétoires, vascularisation → prépare l'implantation de l'embryon.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→ La courbe d'épaisseur de la muqueuse suit donc : une 1ère augmentation sous effet des œstrogènes (phase folliculaire), puis une 2ème phase de maintien/augmentation sous effet de la progestérone (phase lutéale), puis chute lors de la dégénérescence du corps jaune → règles.</w:t>
      </w:r>
    </w:p>
    <w:p>
      <w:pPr>
        <w:spacing w:before="80" w:after="40"/>
      </w:pPr>
    </w:p>
    <w:p>
      <w:pPr>
        <w:pBdr>
          <w:left w:val="single" w:color="4A235A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4A235A"/>
          <w:sz w:val="22"/>
          <w:szCs w:val="22"/>
        </w:rPr>
        <w:t xml:space="preserve">  Bilan — Texte à trous complété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4A235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Texte complété — Corrigé</w:t>
            </w:r>
          </w:p>
        </w:tc>
      </w:tr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EDD9F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complexe hypothalamo-hypophysaire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contrôle l'activité des ovaires. L'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hypothalamus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sécrète la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GnRH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qui stimule l'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hypophyse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à sécréter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FSH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et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LH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. La FSH stimule la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croissance folliculaire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et la sécrétion d'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œstrogène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. L'augmentation d'œstrogène entraîne un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pic de LH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qui déclenche l'ovulation. Après l'ovulation, le follicule devient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corps jaune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qui sécrète de la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progestérone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. Ces hormones agissent sur l'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utérus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: la progestérone provoque l'épaississement et la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vascularisation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de l'endomètre, le préparant à la nidation. Si pas de fécondation, le </w:t>
            </w:r>
            <w:r>
              <w:rPr>
                <w:rFonts w:ascii="Arial" w:cs="Arial" w:eastAsia="Arial" w:hAnsi="Arial"/>
                <w:b/>
                <w:bCs/>
                <w:color w:val="4A235A"/>
                <w:sz w:val="20"/>
                <w:szCs w:val="20"/>
              </w:rPr>
              <w:t xml:space="preserve">corps jaune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dégénère, les hormones chutent → règles.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Schéma fonctionnel — Description attendue (Étape 2)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 schéma doit montrer (avec flèches + et −)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HYPOTHALAMUS → (GnRH) → HYPOPHYSE [+]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HYPOPHYSE → (FSH) → Follicule ovarien → ŒSTROGÈNES [+]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HYPOPHYSE → (LH) → Follicule puis Corps jaune → PROGESTÉRONE [+]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ŒSTROGÈNES (faibles) → rétrocontrôle négatif (−) sur hypophyse en phase folliculaire précoce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ŒSTROGÈNES (élevés, J12-13) → rétrocontrôle positif (+) sur hypophyse → PIC de LH → OVULATION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PROGESTÉRONE + ŒSTROGÈNES (phase lutéale) → rétrocontrôle négatif (−) sur hypophyse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OVAIRES (hormones) → UTÉRUS : épaississement de l'endomètre [+]</w:t>
            </w:r>
          </w:p>
          <w:p>
            <w:pPr>
              <w:spacing w:before="20" w:after="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8B4000"/>
                <w:sz w:val="20"/>
                <w:szCs w:val="20"/>
              </w:rPr>
              <w:t xml:space="preserve">⚠️ Points clés à vérifier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 flèche du rétrocontrôle POSITIF doit clairement apparaître autour de J13 (ovulation)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 nature cyclique du système doit être visible (retour aux règles, puis nouveau cycle)</w:t>
            </w:r>
          </w:p>
        </w:tc>
      </w:tr>
    </w:tbl>
    <w:p>
      <w:pPr>
        <w:spacing w:before="120" w:after="80"/>
      </w:pPr>
    </w:p>
    <w:p>
      <w:pPr>
        <w:spacing w:before="60" w:after="60"/>
        <w:jc w:val="left"/>
      </w:pPr>
      <w:r>
        <w:br w:type="page"/>
      </w:r>
    </w:p>
    <w:p>
      <w:pPr>
        <w:pBdr>
          <w:bottom w:val="single" w:color="1D6A3A" w:sz="8" w:space="4"/>
        </w:pBdr>
        <w:spacing w:before="200" w:after="100"/>
        <w:jc w:val="left"/>
      </w:pPr>
      <w:r>
        <w:rPr>
          <w:rFonts w:ascii="Arial" w:cs="Arial" w:eastAsia="Arial" w:hAnsi="Arial"/>
          <w:b/>
          <w:bCs/>
          <w:color w:val="1D6A3A"/>
          <w:sz w:val="26"/>
          <w:szCs w:val="26"/>
        </w:rPr>
        <w:t xml:space="preserve">BILAN DES NOTIONS — TP Appareil reproducteur féminin</w:t>
      </w:r>
    </w:p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Le cycle féminin (≈ 28 jours)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Deux cycles synchronisés contrôlés par les hormones ovariennes :</w:t>
            </w:r>
          </w:p>
          <w:p>
            <w:pPr>
              <w:spacing w:before="2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3380"/>
              <w:gridCol w:w="3380"/>
            </w:tblGrid>
            <w:tr>
              <w:trPr>
                <w:tblHeader/>
              </w:trPr>
              <w:tc>
                <w:tcPr>
                  <w:tcW w:type="dxa" w:w="2200"/>
                  <w:tcBorders>
                    <w:top w:val="single" w:color="1D6A3A" w:sz="8"/>
                    <w:left w:val="single" w:color="1D6A3A" w:sz="8"/>
                    <w:bottom w:val="single" w:color="1D6A3A" w:sz="8"/>
                    <w:right w:val="single" w:color="1D6A3A" w:sz="8"/>
                  </w:tcBorders>
                  <w:shd w:fill="1D6A3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9"/>
                      <w:szCs w:val="19"/>
                    </w:rPr>
                    <w:t xml:space="preserve"/>
                  </w:r>
                </w:p>
              </w:tc>
              <w:tc>
                <w:tcPr>
                  <w:tcW w:type="dxa" w:w="3380"/>
                  <w:tcBorders>
                    <w:top w:val="single" w:color="1D6A3A" w:sz="8"/>
                    <w:left w:val="single" w:color="1D6A3A" w:sz="8"/>
                    <w:bottom w:val="single" w:color="1D6A3A" w:sz="8"/>
                    <w:right w:val="single" w:color="1D6A3A" w:sz="8"/>
                  </w:tcBorders>
                  <w:shd w:fill="1D6A3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9"/>
                      <w:szCs w:val="19"/>
                    </w:rPr>
                    <w:t xml:space="preserve">Cycle ovarien</w:t>
                  </w:r>
                </w:p>
              </w:tc>
              <w:tc>
                <w:tcPr>
                  <w:tcW w:type="dxa" w:w="3380"/>
                  <w:tcBorders>
                    <w:top w:val="single" w:color="1D6A3A" w:sz="8"/>
                    <w:left w:val="single" w:color="1D6A3A" w:sz="8"/>
                    <w:bottom w:val="single" w:color="1D6A3A" w:sz="8"/>
                    <w:right w:val="single" w:color="1D6A3A" w:sz="8"/>
                  </w:tcBorders>
                  <w:shd w:fill="1D6A3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9"/>
                      <w:szCs w:val="19"/>
                    </w:rPr>
                    <w:t xml:space="preserve">Cycle utérin (menstruel)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J1–J14
(Phase folliculaire / proliférative)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Croissance folliculaire → follicule de De Graaf
Sécrétion d'œstrogènes en hausse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Règles (J1-J5) puis reconstruction de l'endomètre sous effet des œstrogènes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J14 (Ovulation)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Rupture du follicule mûr → libération de l'ovocyte
Pic de LH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Endomètre en cours d'épaississement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J14–J28
(Phase lutéale / sécrétoire)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Corps jaune actif : sécrétion progestérone + œstrogènes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Endomètre épais, glandes sécrétoires, vascularisé → prêt pour la nidation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J28 (si pas fécondation)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Corps jaune dégénère → chute des hormones</w:t>
                  </w:r>
                </w:p>
              </w:tc>
              <w:tc>
                <w:tcPr>
                  <w:tcW w:type="dxa" w:w="33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8"/>
                      <w:szCs w:val="18"/>
                    </w:rPr>
                    <w:t xml:space="preserve">Destruction de l'endomètre → Règles → J1 du cycle suivant</w:t>
                  </w:r>
                </w:p>
              </w:tc>
            </w:tr>
          </w:tbl>
          <w:p/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Les hormones ovariennes et leurs effets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6560"/>
            </w:tblGrid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Œstrogènes</w:t>
                  </w:r>
                </w:p>
              </w:tc>
              <w:tc>
                <w:tcPr>
                  <w:tcW w:type="dxa" w:w="6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Sécrétés par les cellules folliculaires. Stimulent la reconstruction et l'épaississement de l'endomètre. À taux élevé, déclenchent le pic de LH (rétrocontrôle +).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Progestérone</w:t>
                  </w:r>
                </w:p>
              </w:tc>
              <w:tc>
                <w:tcPr>
                  <w:tcW w:type="dxa" w:w="6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Sécrétée par le corps jaune. Maintient et mature l'endomètre (glandes, vascularisation). Exerce un rétrocontrôle − sur l'hypophyse en phase lutéale.</w:t>
                  </w:r>
                </w:p>
              </w:tc>
            </w:tr>
          </w:tbl>
          <w:p/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La régulation hormonale — L'axe hypothalamo-hypophyso-ovarien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GnRH (hypothalamus) → stimule FSH et LH (hypophyse)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FSH → stimule la croissance folliculaire + sécrétion d'œstrogènes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LH → déclenche l'ovulation (pic à J14) + stimule le corps jaune (progestérone)</w:t>
            </w:r>
          </w:p>
          <w:p>
            <w:pPr>
              <w:spacing w:before="20" w:after="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Les rétrocontrôles (feedbacks)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Rétrocontrôle NÉGATIF (−) : œstrogènes faibles (début de cycle) inhibent FSH/LH → évite la croissance de plusieurs follicules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Rétrocontrôle POSITIF (+) : œstrogènes élevés (J12-13) stimulent l'hypophyse → pic de LH → ovulation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Rétrocontrôle NÉGATIF (−) : progestérone (phase lutéale) inhibe FSH/LH → empêche une nouvelle ovulation</w:t>
            </w:r>
          </w:p>
          <w:p>
            <w:pPr>
              <w:spacing w:before="20" w:after="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8B4000"/>
                <w:sz w:val="20"/>
                <w:szCs w:val="20"/>
              </w:rPr>
              <w:t xml:space="preserve">⚠️ La régulation féminine est CYCLIQUE (≠ masculine qui est permanente)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4. Vocabulaire clé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6160"/>
            </w:tblGrid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Ovulation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Libération de l'ovocyte II par le follicule mûr (vers J14)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Corps jaune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Structure formée après l'ovulation, sécrète progestérone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Endomètre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Muqueuse utérine, qui s'épaissit et se détruit cycliquement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Menstruation (règles)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Desquamation de l'endomètre si pas de nidation, J1 du cycle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Nidation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Implantation de l'embryon dans l'endomètre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Follicule de De Graaf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Follicule mûr prêt à l'ovulation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Rétrocontrôle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Régulation d'une hormone par ses propres effets (+ ou −)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GnRH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Neurohormone hypothalamique pulsatile contrôlant l'hypophyse</w:t>
                  </w:r>
                </w:p>
              </w:tc>
            </w:tr>
          </w:tbl>
          <w:p/>
        </w:tc>
      </w:tr>
    </w:tbl>
    <w:sectPr>
      <w:headerReference w:type="default" r:id="rId6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906"/>
    </w:tblGrid>
    <w:tr>
      <w:tc>
        <w:tcPr>
          <w:tcW w:type="dxa" w:w="6000"/>
          <w:tcBorders>
            <w:top w:val="single" w:color="FFFFFF" w:sz="0"/>
            <w:left w:val="single" w:color="FFFFFF" w:sz="0"/>
            <w:bottom w:val="single" w:color="FFFFFF" w:sz="0"/>
            <w:right w:val="single" w:color="FFFFFF" w:sz="0"/>
          </w:tcBorders>
          <w:shd w:fill="4A235A" w:val="clear"/>
          <w:tcMar>
            <w:top w:type="dxa" w:w="80"/>
            <w:left w:type="dxa" w:w="200"/>
            <w:bottom w:type="dxa" w:w="80"/>
            <w:right w:type="dxa" w:w="100"/>
          </w:tcMar>
        </w:tcPr>
        <w:p>
          <w:pPr>
            <w:spacing w:before="60" w:after="60"/>
            <w:jc w:val="left"/>
          </w:pPr>
          <w:r>
            <w:rPr>
              <w:rFonts w:ascii="Arial" w:cs="Arial" w:eastAsia="Arial" w:hAnsi="Arial"/>
              <w:b/>
              <w:bCs/>
              <w:color w:val="FFFFFF"/>
              <w:sz w:val="24"/>
              <w:szCs w:val="24"/>
            </w:rPr>
            <w:t xml:space="preserve">CORRIGÉ — SVT Seconde</w:t>
          </w:r>
        </w:p>
        <w:p>
          <w:pPr>
            <w:spacing w:before="60" w:after="6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E0C8FF"/>
              <w:sz w:val="18"/>
              <w:szCs w:val="18"/>
            </w:rPr>
            <w:t xml:space="preserve">Fonctionnement de l'appareil reproducteur féminin</w:t>
          </w:r>
        </w:p>
      </w:tc>
      <w:tc>
        <w:tcPr>
          <w:tcW w:type="dxa" w:w="3906"/>
          <w:tcBorders>
            <w:top w:val="single" w:color="FFFFFF" w:sz="0"/>
            <w:left w:val="single" w:color="FFFFFF" w:sz="0"/>
            <w:bottom w:val="single" w:color="FFFFFF" w:sz="0"/>
            <w:right w:val="single" w:color="FFFFFF" w:sz="0"/>
          </w:tcBorders>
          <w:shd w:fill="EDD9F7" w:val="clear"/>
          <w:tcMar>
            <w:top w:type="dxa" w:w="80"/>
            <w:left w:type="dxa" w:w="100"/>
            <w:bottom w:type="dxa" w:w="80"/>
            <w:right w:type="dxa" w:w="200"/>
          </w:tcMar>
        </w:tcPr>
        <w:p>
          <w:pPr>
            <w:spacing w:before="60" w:after="60"/>
            <w:jc w:val="right"/>
          </w:pPr>
          <w:r>
            <w:rPr>
              <w:rFonts w:ascii="Arial" w:cs="Arial" w:eastAsia="Arial" w:hAnsi="Arial"/>
              <w:b/>
              <w:bCs/>
              <w:color w:val="4A235A"/>
              <w:sz w:val="18"/>
              <w:szCs w:val="18"/>
            </w:rPr>
            <w:t xml:space="preserve">Document réservé au professeur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2026-03-10T09:58:52.315Z</dcterms:created>
  <dcterms:modified xsi:type="dcterms:W3CDTF">2026-03-10T09:58:52.315Z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