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F449A8" w:rsidRPr="00F449A8" w14:paraId="78F54C97" w14:textId="77777777" w:rsidTr="00021E98">
        <w:tc>
          <w:tcPr>
            <w:tcW w:w="50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7F4BF3F2" w14:textId="77777777" w:rsidR="00F449A8" w:rsidRPr="00F449A8" w:rsidRDefault="00F449A8" w:rsidP="00021E98">
            <w:pPr>
              <w:spacing w:after="60"/>
              <w:rPr>
                <w:rFonts w:ascii="Arial" w:hAnsi="Arial" w:cs="Arial"/>
                <w:sz w:val="24"/>
                <w:szCs w:val="24"/>
              </w:rPr>
            </w:pPr>
            <w:r w:rsidRPr="00F449A8">
              <w:rPr>
                <w:rFonts w:ascii="Arial" w:hAnsi="Arial" w:cs="Arial"/>
                <w:b/>
                <w:bCs/>
                <w:color w:val="BFD3EE"/>
                <w:sz w:val="24"/>
                <w:szCs w:val="24"/>
              </w:rPr>
              <w:t>Thème 2 — Évolution humaine · Chapitre 1 · Activité 4</w:t>
            </w:r>
          </w:p>
          <w:p w14:paraId="1FDA8A25" w14:textId="77777777" w:rsidR="00F449A8" w:rsidRPr="00F449A8" w:rsidRDefault="00F449A8" w:rsidP="00021E98">
            <w:pPr>
              <w:spacing w:after="60"/>
              <w:rPr>
                <w:rFonts w:ascii="Arial" w:hAnsi="Arial" w:cs="Arial"/>
                <w:sz w:val="24"/>
                <w:szCs w:val="24"/>
              </w:rPr>
            </w:pPr>
            <w:r w:rsidRPr="00F449A8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Les critères d'appartenance à la lignée humaine</w:t>
            </w:r>
          </w:p>
          <w:p w14:paraId="1DF27167" w14:textId="77777777" w:rsidR="00F449A8" w:rsidRPr="00F449A8" w:rsidRDefault="00F449A8" w:rsidP="00021E98">
            <w:pPr>
              <w:rPr>
                <w:rFonts w:ascii="Arial" w:hAnsi="Arial" w:cs="Arial"/>
                <w:sz w:val="24"/>
                <w:szCs w:val="24"/>
              </w:rPr>
            </w:pPr>
            <w:r w:rsidRPr="00F449A8">
              <w:rPr>
                <w:rFonts w:ascii="Arial" w:hAnsi="Arial" w:cs="Arial"/>
                <w:i/>
                <w:iCs/>
                <w:color w:val="BFD3EE"/>
                <w:sz w:val="24"/>
                <w:szCs w:val="24"/>
              </w:rPr>
              <w:t>Durée indicative : 1 h · Mesures craniométriques + outil en ligne</w:t>
            </w:r>
          </w:p>
        </w:tc>
      </w:tr>
    </w:tbl>
    <w:p w14:paraId="75882454" w14:textId="77777777" w:rsidR="00F449A8" w:rsidRPr="00F449A8" w:rsidRDefault="00F449A8" w:rsidP="00F449A8">
      <w:pPr>
        <w:pStyle w:val="Titre2"/>
        <w:pBdr>
          <w:bottom w:val="single" w:sz="6" w:space="2" w:color="2E5395"/>
        </w:pBdr>
        <w:spacing w:before="260" w:after="120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b/>
          <w:bCs/>
          <w:color w:val="1F3864"/>
          <w:sz w:val="24"/>
          <w:szCs w:val="24"/>
        </w:rPr>
        <w:t>Contexte</w:t>
      </w:r>
    </w:p>
    <w:p w14:paraId="02E6A4E1" w14:textId="77777777" w:rsidR="00F449A8" w:rsidRPr="00F449A8" w:rsidRDefault="00F449A8" w:rsidP="00F449A8">
      <w:pPr>
        <w:spacing w:after="120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sz w:val="24"/>
          <w:szCs w:val="24"/>
        </w:rPr>
        <w:t xml:space="preserve">L'appartenance d'un fossile d'Hominidé à la lignée humaine est </w:t>
      </w:r>
      <w:proofErr w:type="gramStart"/>
      <w:r w:rsidRPr="00F449A8">
        <w:rPr>
          <w:rFonts w:ascii="Arial" w:hAnsi="Arial" w:cs="Arial"/>
          <w:sz w:val="24"/>
          <w:szCs w:val="24"/>
        </w:rPr>
        <w:t>délicate</w:t>
      </w:r>
      <w:proofErr w:type="gramEnd"/>
      <w:r w:rsidRPr="00F449A8">
        <w:rPr>
          <w:rFonts w:ascii="Arial" w:hAnsi="Arial" w:cs="Arial"/>
          <w:sz w:val="24"/>
          <w:szCs w:val="24"/>
        </w:rPr>
        <w:t xml:space="preserve"> à déterminer car les fossiles sont souvent très partiels. La distinction des différentes espèces peut être réalisée notamment grâce à des mesures faites sur les crânes.</w:t>
      </w:r>
    </w:p>
    <w:p w14:paraId="654FF0AD" w14:textId="77777777" w:rsidR="00F449A8" w:rsidRPr="00F449A8" w:rsidRDefault="00F449A8" w:rsidP="00F449A8">
      <w:pPr>
        <w:spacing w:before="160" w:after="80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b/>
          <w:bCs/>
          <w:color w:val="2E5395"/>
          <w:sz w:val="24"/>
          <w:szCs w:val="24"/>
        </w:rPr>
        <w:t>Problématique</w:t>
      </w:r>
    </w:p>
    <w:p w14:paraId="46D10BBE" w14:textId="77777777" w:rsidR="00F449A8" w:rsidRPr="00F449A8" w:rsidRDefault="00F449A8" w:rsidP="00F449A8">
      <w:pPr>
        <w:spacing w:after="120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b/>
          <w:bCs/>
          <w:sz w:val="24"/>
          <w:szCs w:val="24"/>
        </w:rPr>
        <w:t>On cherche à déterminer à quelle espèce d'Homininé peut se rattacher un crâne fossile à l'aide de deux critères distinctifs : l'angle facial et le rapport hauteur sur longueur de son crâne.</w:t>
      </w:r>
    </w:p>
    <w:p w14:paraId="5CBC6245" w14:textId="77777777" w:rsidR="00F449A8" w:rsidRPr="00F449A8" w:rsidRDefault="00F449A8" w:rsidP="00F449A8">
      <w:pPr>
        <w:pStyle w:val="Titre2"/>
        <w:pBdr>
          <w:bottom w:val="single" w:sz="6" w:space="2" w:color="2E5395"/>
        </w:pBdr>
        <w:spacing w:before="260" w:after="120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b/>
          <w:bCs/>
          <w:color w:val="1F3864"/>
          <w:sz w:val="24"/>
          <w:szCs w:val="24"/>
        </w:rPr>
        <w:t>Documents supports</w:t>
      </w:r>
    </w:p>
    <w:p w14:paraId="4212E0A3" w14:textId="77777777" w:rsidR="00F449A8" w:rsidRPr="00F449A8" w:rsidRDefault="00F449A8" w:rsidP="00F449A8">
      <w:pPr>
        <w:spacing w:before="160" w:after="80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b/>
          <w:bCs/>
          <w:color w:val="2E5395"/>
          <w:sz w:val="24"/>
          <w:szCs w:val="24"/>
        </w:rPr>
        <w:t>Document 1 — Points de repère sur un crâne et définition de l'angle facial</w:t>
      </w:r>
    </w:p>
    <w:p w14:paraId="69409272" w14:textId="77777777" w:rsidR="00F449A8" w:rsidRPr="00F449A8" w:rsidRDefault="00F449A8" w:rsidP="00F449A8">
      <w:pPr>
        <w:spacing w:before="100" w:after="60"/>
        <w:jc w:val="center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2767DBC" wp14:editId="76C2926D">
            <wp:extent cx="4552950" cy="2562225"/>
            <wp:effectExtent l="0" t="0" r="0" b="0"/>
            <wp:docPr id="1421571916" name="Image 1421571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F1952" w14:textId="77777777" w:rsidR="00F449A8" w:rsidRPr="00F449A8" w:rsidRDefault="00F449A8" w:rsidP="00F449A8">
      <w:pPr>
        <w:spacing w:after="200"/>
        <w:jc w:val="center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i/>
          <w:iCs/>
          <w:color w:val="595959"/>
          <w:sz w:val="24"/>
          <w:szCs w:val="24"/>
        </w:rPr>
        <w:t>Doc. 1 : quelques points de repère sur un crâne (B, Q, N, O, P, M) et l'angle facial. La mesure s'effectue conventionnellement sur le profil gauche.</w:t>
      </w:r>
    </w:p>
    <w:p w14:paraId="28BB4CEF" w14:textId="77777777" w:rsidR="00F449A8" w:rsidRPr="00F449A8" w:rsidRDefault="00F449A8" w:rsidP="00F449A8">
      <w:pPr>
        <w:spacing w:before="100" w:after="60"/>
        <w:jc w:val="center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17851F1" wp14:editId="1FEC4539">
            <wp:extent cx="1400175" cy="914400"/>
            <wp:effectExtent l="0" t="0" r="0" b="0"/>
            <wp:docPr id="1537466272" name="Image 1537466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34744" w14:textId="77777777" w:rsidR="00F449A8" w:rsidRPr="00F449A8" w:rsidRDefault="00F449A8" w:rsidP="00F449A8">
      <w:pPr>
        <w:spacing w:after="200"/>
        <w:jc w:val="center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i/>
          <w:iCs/>
          <w:color w:val="595959"/>
          <w:sz w:val="24"/>
          <w:szCs w:val="24"/>
        </w:rPr>
        <w:t>Doc. 1 (suite) : axe d'insertion de la colonne vertébrale dans le trou occipital.</w:t>
      </w:r>
    </w:p>
    <w:p w14:paraId="2B51B866" w14:textId="77777777" w:rsidR="00F449A8" w:rsidRPr="00F449A8" w:rsidRDefault="00F449A8" w:rsidP="00F449A8">
      <w:pPr>
        <w:spacing w:before="160" w:after="80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b/>
          <w:bCs/>
          <w:color w:val="2E5395"/>
          <w:sz w:val="24"/>
          <w:szCs w:val="24"/>
        </w:rPr>
        <w:t>Document 2 — Six crânes d'Homininés à comparer</w:t>
      </w:r>
    </w:p>
    <w:p w14:paraId="791BD979" w14:textId="77777777" w:rsidR="00F449A8" w:rsidRPr="00F449A8" w:rsidRDefault="00F449A8" w:rsidP="00F449A8">
      <w:pPr>
        <w:spacing w:before="100" w:after="60"/>
        <w:jc w:val="center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462857CD" wp14:editId="4B1A5B33">
            <wp:extent cx="6685557" cy="5410200"/>
            <wp:effectExtent l="0" t="0" r="1270" b="0"/>
            <wp:docPr id="876482158" name="Image 876482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870" cy="5420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2EE8B" w14:textId="77777777" w:rsidR="00F449A8" w:rsidRPr="00F449A8" w:rsidRDefault="00F449A8" w:rsidP="00F449A8">
      <w:pPr>
        <w:spacing w:after="200"/>
        <w:jc w:val="center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i/>
          <w:iCs/>
          <w:color w:val="595959"/>
          <w:sz w:val="24"/>
          <w:szCs w:val="24"/>
        </w:rPr>
        <w:t xml:space="preserve">Doc. 2 : </w:t>
      </w:r>
      <w:proofErr w:type="spellStart"/>
      <w:r w:rsidRPr="00F449A8">
        <w:rPr>
          <w:rFonts w:ascii="Arial" w:hAnsi="Arial" w:cs="Arial"/>
          <w:i/>
          <w:iCs/>
          <w:color w:val="595959"/>
          <w:sz w:val="24"/>
          <w:szCs w:val="24"/>
        </w:rPr>
        <w:t>Australopithecus</w:t>
      </w:r>
      <w:proofErr w:type="spellEnd"/>
      <w:r w:rsidRPr="00F449A8">
        <w:rPr>
          <w:rFonts w:ascii="Arial" w:hAnsi="Arial" w:cs="Arial"/>
          <w:i/>
          <w:iCs/>
          <w:color w:val="595959"/>
          <w:sz w:val="24"/>
          <w:szCs w:val="24"/>
        </w:rPr>
        <w:t xml:space="preserve"> africanus, Homo sapiens, Homo neanderthalensis, Homo erectus, Homo rhodesiensis, Homo habilis — période d'existence (PE) et capacité crânienne (CC) de chaque espèce, points de repère identifiés par les flèches et pastilles rouges.</w:t>
      </w:r>
    </w:p>
    <w:p w14:paraId="20362071" w14:textId="77777777" w:rsidR="00F449A8" w:rsidRPr="00F449A8" w:rsidRDefault="00F449A8" w:rsidP="00F449A8">
      <w:pPr>
        <w:spacing w:before="100" w:after="60"/>
        <w:jc w:val="center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6A2FD34" wp14:editId="25D886D7">
            <wp:extent cx="4505325" cy="914400"/>
            <wp:effectExtent l="0" t="0" r="0" b="0"/>
            <wp:docPr id="16651496" name="Image 16651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74FA3" w14:textId="77777777" w:rsidR="00F449A8" w:rsidRPr="00F449A8" w:rsidRDefault="00F449A8" w:rsidP="00F449A8">
      <w:pPr>
        <w:spacing w:after="200"/>
        <w:jc w:val="center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i/>
          <w:iCs/>
          <w:color w:val="595959"/>
          <w:sz w:val="24"/>
          <w:szCs w:val="24"/>
        </w:rPr>
        <w:t>Doc. 2 (légende).</w:t>
      </w:r>
    </w:p>
    <w:p w14:paraId="4E0A21DB" w14:textId="77777777" w:rsidR="00F449A8" w:rsidRDefault="00F449A8" w:rsidP="00F449A8">
      <w:pPr>
        <w:spacing w:before="160" w:after="80"/>
        <w:rPr>
          <w:rFonts w:ascii="Arial" w:hAnsi="Arial" w:cs="Arial"/>
          <w:b/>
          <w:bCs/>
          <w:color w:val="2E5395"/>
          <w:sz w:val="24"/>
          <w:szCs w:val="24"/>
        </w:rPr>
      </w:pPr>
    </w:p>
    <w:p w14:paraId="2085ECD1" w14:textId="77777777" w:rsidR="00F449A8" w:rsidRDefault="00F449A8" w:rsidP="00F449A8">
      <w:pPr>
        <w:spacing w:before="160" w:after="80"/>
        <w:rPr>
          <w:rFonts w:ascii="Arial" w:hAnsi="Arial" w:cs="Arial"/>
          <w:b/>
          <w:bCs/>
          <w:color w:val="2E5395"/>
          <w:sz w:val="24"/>
          <w:szCs w:val="24"/>
        </w:rPr>
      </w:pPr>
    </w:p>
    <w:p w14:paraId="0156C5C8" w14:textId="77777777" w:rsidR="00F449A8" w:rsidRDefault="00F449A8" w:rsidP="00F449A8">
      <w:pPr>
        <w:spacing w:before="160" w:after="80"/>
        <w:rPr>
          <w:rFonts w:ascii="Arial" w:hAnsi="Arial" w:cs="Arial"/>
          <w:b/>
          <w:bCs/>
          <w:color w:val="2E5395"/>
          <w:sz w:val="24"/>
          <w:szCs w:val="24"/>
        </w:rPr>
      </w:pPr>
    </w:p>
    <w:p w14:paraId="657B60BB" w14:textId="77777777" w:rsidR="00F449A8" w:rsidRDefault="00F449A8" w:rsidP="00F449A8">
      <w:pPr>
        <w:spacing w:before="160" w:after="80"/>
        <w:rPr>
          <w:rFonts w:ascii="Arial" w:hAnsi="Arial" w:cs="Arial"/>
          <w:b/>
          <w:bCs/>
          <w:color w:val="2E5395"/>
          <w:sz w:val="24"/>
          <w:szCs w:val="24"/>
        </w:rPr>
      </w:pPr>
    </w:p>
    <w:p w14:paraId="71BE73DA" w14:textId="77777777" w:rsidR="00F449A8" w:rsidRDefault="00F449A8" w:rsidP="00F449A8">
      <w:pPr>
        <w:spacing w:before="160" w:after="80"/>
        <w:rPr>
          <w:rFonts w:ascii="Arial" w:hAnsi="Arial" w:cs="Arial"/>
          <w:b/>
          <w:bCs/>
          <w:color w:val="2E5395"/>
          <w:sz w:val="24"/>
          <w:szCs w:val="24"/>
        </w:rPr>
      </w:pPr>
    </w:p>
    <w:p w14:paraId="777C10B2" w14:textId="77777777" w:rsidR="00F449A8" w:rsidRDefault="00F449A8" w:rsidP="00F449A8">
      <w:pPr>
        <w:spacing w:before="160" w:after="80"/>
        <w:rPr>
          <w:rFonts w:ascii="Arial" w:hAnsi="Arial" w:cs="Arial"/>
          <w:b/>
          <w:bCs/>
          <w:color w:val="2E5395"/>
          <w:sz w:val="24"/>
          <w:szCs w:val="24"/>
        </w:rPr>
      </w:pPr>
    </w:p>
    <w:p w14:paraId="34A5BEFB" w14:textId="77777777" w:rsidR="00F449A8" w:rsidRDefault="00F449A8" w:rsidP="00F449A8">
      <w:pPr>
        <w:spacing w:before="160" w:after="80"/>
        <w:rPr>
          <w:rFonts w:ascii="Arial" w:hAnsi="Arial" w:cs="Arial"/>
          <w:b/>
          <w:bCs/>
          <w:color w:val="2E5395"/>
          <w:sz w:val="24"/>
          <w:szCs w:val="24"/>
        </w:rPr>
      </w:pPr>
    </w:p>
    <w:p w14:paraId="6C50450F" w14:textId="77777777" w:rsidR="00F449A8" w:rsidRDefault="00F449A8" w:rsidP="00F449A8">
      <w:pPr>
        <w:spacing w:before="160" w:after="80"/>
        <w:rPr>
          <w:rFonts w:ascii="Arial" w:hAnsi="Arial" w:cs="Arial"/>
          <w:b/>
          <w:bCs/>
          <w:color w:val="2E5395"/>
          <w:sz w:val="24"/>
          <w:szCs w:val="24"/>
        </w:rPr>
      </w:pPr>
    </w:p>
    <w:p w14:paraId="7C62A404" w14:textId="77777777" w:rsidR="00F449A8" w:rsidRDefault="00F449A8" w:rsidP="00F449A8">
      <w:pPr>
        <w:spacing w:before="160" w:after="80"/>
        <w:rPr>
          <w:rFonts w:ascii="Arial" w:hAnsi="Arial" w:cs="Arial"/>
          <w:b/>
          <w:bCs/>
          <w:color w:val="2E5395"/>
          <w:sz w:val="24"/>
          <w:szCs w:val="24"/>
        </w:rPr>
      </w:pPr>
    </w:p>
    <w:p w14:paraId="7D071014" w14:textId="5E765333" w:rsidR="00F449A8" w:rsidRPr="00F449A8" w:rsidRDefault="00F449A8" w:rsidP="00F449A8">
      <w:pPr>
        <w:spacing w:before="160" w:after="80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b/>
          <w:bCs/>
          <w:color w:val="2E5395"/>
          <w:sz w:val="24"/>
          <w:szCs w:val="24"/>
        </w:rPr>
        <w:lastRenderedPageBreak/>
        <w:t>Document 3 — Outil de mesure en ligne (</w:t>
      </w:r>
      <w:proofErr w:type="spellStart"/>
      <w:r w:rsidRPr="00F449A8">
        <w:rPr>
          <w:rFonts w:ascii="Arial" w:hAnsi="Arial" w:cs="Arial"/>
          <w:b/>
          <w:bCs/>
          <w:color w:val="2E5395"/>
          <w:sz w:val="24"/>
          <w:szCs w:val="24"/>
        </w:rPr>
        <w:t>cosphilog</w:t>
      </w:r>
      <w:proofErr w:type="spellEnd"/>
      <w:r w:rsidRPr="00F449A8">
        <w:rPr>
          <w:rFonts w:ascii="Arial" w:hAnsi="Arial" w:cs="Arial"/>
          <w:b/>
          <w:bCs/>
          <w:color w:val="2E5395"/>
          <w:sz w:val="24"/>
          <w:szCs w:val="24"/>
        </w:rPr>
        <w:t>)</w:t>
      </w:r>
    </w:p>
    <w:p w14:paraId="1300D6BD" w14:textId="77777777" w:rsidR="00F449A8" w:rsidRPr="00F449A8" w:rsidRDefault="00F449A8" w:rsidP="00F449A8">
      <w:pPr>
        <w:spacing w:after="100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sz w:val="24"/>
          <w:szCs w:val="24"/>
        </w:rPr>
        <w:t xml:space="preserve">Outil en ligne pour réaliser les mesures : </w:t>
      </w:r>
      <w:hyperlink r:id="rId9" w:history="1">
        <w:r w:rsidRPr="00F449A8">
          <w:rPr>
            <w:rStyle w:val="Lienhypertexte"/>
            <w:rFonts w:ascii="Arial" w:hAnsi="Arial" w:cs="Arial"/>
            <w:sz w:val="24"/>
            <w:szCs w:val="24"/>
          </w:rPr>
          <w:t>https://cosphilog.fr/showroom/?m=AAIV,AAIW,AAKZ,AAIZ,AAJA,AAJB,AAPZ,AAQA</w:t>
        </w:r>
      </w:hyperlink>
    </w:p>
    <w:p w14:paraId="223AD3B9" w14:textId="77777777" w:rsidR="00F449A8" w:rsidRPr="00F449A8" w:rsidRDefault="00F449A8" w:rsidP="00F449A8">
      <w:pPr>
        <w:spacing w:before="100" w:after="60"/>
        <w:jc w:val="center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EB99C80" wp14:editId="44254D83">
            <wp:extent cx="6624147" cy="3295650"/>
            <wp:effectExtent l="0" t="0" r="5715" b="0"/>
            <wp:docPr id="1313488536" name="Image 1313488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583" cy="3299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9297D" w14:textId="77777777" w:rsidR="00F449A8" w:rsidRPr="00F449A8" w:rsidRDefault="00F449A8" w:rsidP="00F449A8">
      <w:pPr>
        <w:spacing w:after="200"/>
        <w:jc w:val="center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i/>
          <w:iCs/>
          <w:color w:val="595959"/>
          <w:sz w:val="24"/>
          <w:szCs w:val="24"/>
        </w:rPr>
        <w:t>Doc. 3 : tableau à compléter avec les mesures obtenues (angle facial, rapport hauteur/longueur, capacité crânienne, position du trou occipital) pour chacune des six espèces.</w:t>
      </w:r>
    </w:p>
    <w:p w14:paraId="37196C9D" w14:textId="77777777" w:rsidR="00F449A8" w:rsidRPr="00F449A8" w:rsidRDefault="00F449A8" w:rsidP="00F449A8">
      <w:pPr>
        <w:spacing w:before="160" w:after="80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b/>
          <w:bCs/>
          <w:color w:val="2E5395"/>
          <w:sz w:val="24"/>
          <w:szCs w:val="24"/>
        </w:rPr>
        <w:t>Document 4 — Évolution de la mandibule au cours du temps</w:t>
      </w:r>
    </w:p>
    <w:p w14:paraId="65689275" w14:textId="77777777" w:rsidR="00F449A8" w:rsidRPr="00F449A8" w:rsidRDefault="00F449A8" w:rsidP="00F449A8">
      <w:pPr>
        <w:spacing w:before="100" w:after="60"/>
        <w:jc w:val="center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7D645AD" wp14:editId="579D6E00">
            <wp:extent cx="3752850" cy="3566849"/>
            <wp:effectExtent l="0" t="0" r="0" b="0"/>
            <wp:docPr id="1295071298" name="Image 1295071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670" cy="357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78105" w14:textId="77777777" w:rsidR="00F449A8" w:rsidRPr="00F449A8" w:rsidRDefault="00F449A8" w:rsidP="00F449A8">
      <w:pPr>
        <w:spacing w:after="200"/>
        <w:jc w:val="center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i/>
          <w:iCs/>
          <w:color w:val="595959"/>
          <w:sz w:val="24"/>
          <w:szCs w:val="24"/>
        </w:rPr>
        <w:t>Doc. 4 : mandibules de quatre Homininés (a, b, c, d) illustrant l'évolution de la forme de l'arcade dentaire au cours du temps.</w:t>
      </w:r>
    </w:p>
    <w:p w14:paraId="3BAD99F2" w14:textId="77777777" w:rsidR="00F449A8" w:rsidRPr="00F449A8" w:rsidRDefault="00F449A8" w:rsidP="00F449A8">
      <w:pPr>
        <w:spacing w:before="100" w:after="60"/>
        <w:jc w:val="center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88CDDA0" wp14:editId="04D2BB33">
            <wp:extent cx="6797574" cy="3952875"/>
            <wp:effectExtent l="0" t="0" r="3810" b="0"/>
            <wp:docPr id="492453728" name="Image 492453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508" cy="395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7BFF2" w14:textId="77777777" w:rsidR="00F449A8" w:rsidRPr="00F449A8" w:rsidRDefault="00F449A8" w:rsidP="00F449A8">
      <w:pPr>
        <w:spacing w:after="200"/>
        <w:jc w:val="center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i/>
          <w:iCs/>
          <w:color w:val="595959"/>
          <w:sz w:val="24"/>
          <w:szCs w:val="24"/>
        </w:rPr>
        <w:t>Doc. 4 (légende des mandibules).</w:t>
      </w:r>
    </w:p>
    <w:p w14:paraId="748B5105" w14:textId="77777777" w:rsidR="00F449A8" w:rsidRPr="00F449A8" w:rsidRDefault="00F449A8" w:rsidP="00F449A8">
      <w:pPr>
        <w:spacing w:before="100" w:after="60"/>
        <w:jc w:val="center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5EF3531" wp14:editId="02A03241">
            <wp:extent cx="6279333" cy="2209800"/>
            <wp:effectExtent l="0" t="0" r="7620" b="0"/>
            <wp:docPr id="687900797" name="Image 687900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787" cy="2212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0302B" w14:textId="77777777" w:rsidR="00F449A8" w:rsidRPr="00F449A8" w:rsidRDefault="00F449A8" w:rsidP="00F449A8">
      <w:pPr>
        <w:spacing w:after="200"/>
        <w:jc w:val="center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i/>
          <w:iCs/>
          <w:color w:val="595959"/>
          <w:sz w:val="24"/>
          <w:szCs w:val="24"/>
        </w:rPr>
        <w:t>Doc. 4 (suite) : éléments de comparaison complémentaires.</w:t>
      </w:r>
    </w:p>
    <w:p w14:paraId="1F3D0B4A" w14:textId="77777777" w:rsidR="00F449A8" w:rsidRDefault="00F449A8" w:rsidP="00F449A8">
      <w:pPr>
        <w:spacing w:before="160" w:after="80"/>
        <w:rPr>
          <w:rFonts w:ascii="Arial" w:hAnsi="Arial" w:cs="Arial"/>
          <w:b/>
          <w:bCs/>
          <w:color w:val="2E5395"/>
          <w:sz w:val="24"/>
          <w:szCs w:val="24"/>
        </w:rPr>
      </w:pPr>
    </w:p>
    <w:p w14:paraId="49B609D9" w14:textId="77777777" w:rsidR="00F449A8" w:rsidRDefault="00F449A8" w:rsidP="00F449A8">
      <w:pPr>
        <w:spacing w:before="160" w:after="80"/>
        <w:rPr>
          <w:rFonts w:ascii="Arial" w:hAnsi="Arial" w:cs="Arial"/>
          <w:b/>
          <w:bCs/>
          <w:color w:val="2E5395"/>
          <w:sz w:val="24"/>
          <w:szCs w:val="24"/>
        </w:rPr>
      </w:pPr>
    </w:p>
    <w:p w14:paraId="3518ED46" w14:textId="77777777" w:rsidR="00F449A8" w:rsidRDefault="00F449A8" w:rsidP="00F449A8">
      <w:pPr>
        <w:spacing w:before="160" w:after="80"/>
        <w:rPr>
          <w:rFonts w:ascii="Arial" w:hAnsi="Arial" w:cs="Arial"/>
          <w:b/>
          <w:bCs/>
          <w:color w:val="2E5395"/>
          <w:sz w:val="24"/>
          <w:szCs w:val="24"/>
        </w:rPr>
      </w:pPr>
    </w:p>
    <w:p w14:paraId="5320E315" w14:textId="77777777" w:rsidR="00F449A8" w:rsidRDefault="00F449A8" w:rsidP="00F449A8">
      <w:pPr>
        <w:spacing w:before="160" w:after="80"/>
        <w:rPr>
          <w:rFonts w:ascii="Arial" w:hAnsi="Arial" w:cs="Arial"/>
          <w:b/>
          <w:bCs/>
          <w:color w:val="2E5395"/>
          <w:sz w:val="24"/>
          <w:szCs w:val="24"/>
        </w:rPr>
      </w:pPr>
    </w:p>
    <w:p w14:paraId="3C8A44BA" w14:textId="77777777" w:rsidR="00F449A8" w:rsidRDefault="00F449A8" w:rsidP="00F449A8">
      <w:pPr>
        <w:spacing w:before="160" w:after="80"/>
        <w:rPr>
          <w:rFonts w:ascii="Arial" w:hAnsi="Arial" w:cs="Arial"/>
          <w:b/>
          <w:bCs/>
          <w:color w:val="2E5395"/>
          <w:sz w:val="24"/>
          <w:szCs w:val="24"/>
        </w:rPr>
      </w:pPr>
    </w:p>
    <w:p w14:paraId="5CFEA85E" w14:textId="77777777" w:rsidR="00F449A8" w:rsidRDefault="00F449A8" w:rsidP="00F449A8">
      <w:pPr>
        <w:spacing w:before="160" w:after="80"/>
        <w:rPr>
          <w:rFonts w:ascii="Arial" w:hAnsi="Arial" w:cs="Arial"/>
          <w:b/>
          <w:bCs/>
          <w:color w:val="2E5395"/>
          <w:sz w:val="24"/>
          <w:szCs w:val="24"/>
        </w:rPr>
      </w:pPr>
    </w:p>
    <w:p w14:paraId="5307A438" w14:textId="77777777" w:rsidR="00F449A8" w:rsidRDefault="00F449A8" w:rsidP="00F449A8">
      <w:pPr>
        <w:spacing w:before="160" w:after="80"/>
        <w:rPr>
          <w:rFonts w:ascii="Arial" w:hAnsi="Arial" w:cs="Arial"/>
          <w:b/>
          <w:bCs/>
          <w:color w:val="2E5395"/>
          <w:sz w:val="24"/>
          <w:szCs w:val="24"/>
        </w:rPr>
      </w:pPr>
    </w:p>
    <w:p w14:paraId="488C3856" w14:textId="77777777" w:rsidR="00F449A8" w:rsidRDefault="00F449A8" w:rsidP="00F449A8">
      <w:pPr>
        <w:spacing w:before="160" w:after="80"/>
        <w:rPr>
          <w:rFonts w:ascii="Arial" w:hAnsi="Arial" w:cs="Arial"/>
          <w:b/>
          <w:bCs/>
          <w:color w:val="2E5395"/>
          <w:sz w:val="24"/>
          <w:szCs w:val="24"/>
        </w:rPr>
      </w:pPr>
    </w:p>
    <w:p w14:paraId="069772F2" w14:textId="77777777" w:rsidR="00F449A8" w:rsidRDefault="00F449A8" w:rsidP="00F449A8">
      <w:pPr>
        <w:spacing w:before="160" w:after="80"/>
        <w:rPr>
          <w:rFonts w:ascii="Arial" w:hAnsi="Arial" w:cs="Arial"/>
          <w:b/>
          <w:bCs/>
          <w:color w:val="2E5395"/>
          <w:sz w:val="24"/>
          <w:szCs w:val="24"/>
        </w:rPr>
      </w:pPr>
    </w:p>
    <w:p w14:paraId="4B4E833D" w14:textId="77777777" w:rsidR="00F449A8" w:rsidRDefault="00F449A8" w:rsidP="00F449A8">
      <w:pPr>
        <w:spacing w:before="160" w:after="80"/>
        <w:rPr>
          <w:rFonts w:ascii="Arial" w:hAnsi="Arial" w:cs="Arial"/>
          <w:b/>
          <w:bCs/>
          <w:color w:val="2E5395"/>
          <w:sz w:val="24"/>
          <w:szCs w:val="24"/>
        </w:rPr>
      </w:pPr>
    </w:p>
    <w:p w14:paraId="4534A522" w14:textId="7B2165E2" w:rsidR="00F449A8" w:rsidRPr="00F449A8" w:rsidRDefault="00F449A8" w:rsidP="00F449A8">
      <w:pPr>
        <w:spacing w:before="160" w:after="80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b/>
          <w:bCs/>
          <w:color w:val="2E5395"/>
          <w:sz w:val="24"/>
          <w:szCs w:val="24"/>
        </w:rPr>
        <w:lastRenderedPageBreak/>
        <w:t>Document 5 — Arbre de parenté à compléter</w:t>
      </w:r>
    </w:p>
    <w:p w14:paraId="0FAFD615" w14:textId="77777777" w:rsidR="00F449A8" w:rsidRPr="00F449A8" w:rsidRDefault="00F449A8" w:rsidP="00F449A8">
      <w:pPr>
        <w:spacing w:before="100" w:after="60"/>
        <w:jc w:val="center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B62D566" wp14:editId="23C03DA9">
            <wp:extent cx="6938367" cy="3524250"/>
            <wp:effectExtent l="0" t="0" r="0" b="0"/>
            <wp:docPr id="1227933073" name="Image 1227933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494" cy="3528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4971A" w14:textId="77777777" w:rsidR="00F449A8" w:rsidRPr="00F449A8" w:rsidRDefault="00F449A8" w:rsidP="00F449A8">
      <w:pPr>
        <w:spacing w:after="200"/>
        <w:jc w:val="center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i/>
          <w:iCs/>
          <w:color w:val="595959"/>
          <w:sz w:val="24"/>
          <w:szCs w:val="24"/>
        </w:rPr>
        <w:t xml:space="preserve">Doc. 5 : arbre reliant </w:t>
      </w:r>
      <w:proofErr w:type="spellStart"/>
      <w:r w:rsidRPr="00F449A8">
        <w:rPr>
          <w:rFonts w:ascii="Arial" w:hAnsi="Arial" w:cs="Arial"/>
          <w:i/>
          <w:iCs/>
          <w:color w:val="595959"/>
          <w:sz w:val="24"/>
          <w:szCs w:val="24"/>
        </w:rPr>
        <w:t>Australopithecus</w:t>
      </w:r>
      <w:proofErr w:type="spellEnd"/>
      <w:r w:rsidRPr="00F449A8">
        <w:rPr>
          <w:rFonts w:ascii="Arial" w:hAnsi="Arial" w:cs="Arial"/>
          <w:i/>
          <w:iCs/>
          <w:color w:val="595959"/>
          <w:sz w:val="24"/>
          <w:szCs w:val="24"/>
        </w:rPr>
        <w:t xml:space="preserve"> africanus, Homo habilis, Homo rhodesiensis, Homo erectus, Homo sapiens et Homo neanderthalensis, à compléter avec les données obtenues. Remarque : il est impossible de construire un arbre prenant en compte simultanément toutes les valeurs mesurées ; il faut donc regrouper les caractères de manière argumentée (capacité crânienne, angle facial…).</w:t>
      </w:r>
    </w:p>
    <w:p w14:paraId="1615B87C" w14:textId="77777777" w:rsidR="00F449A8" w:rsidRPr="00F449A8" w:rsidRDefault="00F449A8" w:rsidP="00F449A8">
      <w:pPr>
        <w:spacing w:before="160" w:after="80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b/>
          <w:bCs/>
          <w:color w:val="2E5395"/>
          <w:sz w:val="24"/>
          <w:szCs w:val="24"/>
        </w:rPr>
        <w:t>Document 6 — Modèle d'axe pour le graphique des fenêtres d'existence</w:t>
      </w:r>
    </w:p>
    <w:p w14:paraId="5A532012" w14:textId="77777777" w:rsidR="00F449A8" w:rsidRPr="00F449A8" w:rsidRDefault="00F449A8" w:rsidP="00F449A8">
      <w:pPr>
        <w:spacing w:before="100" w:after="60"/>
        <w:jc w:val="center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8332CFD" wp14:editId="6E51B4CF">
            <wp:extent cx="5705475" cy="1095375"/>
            <wp:effectExtent l="0" t="0" r="0" b="0"/>
            <wp:docPr id="165738240" name="Image 165738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24721" w14:textId="77777777" w:rsidR="00F449A8" w:rsidRPr="00F449A8" w:rsidRDefault="00F449A8" w:rsidP="00F449A8">
      <w:pPr>
        <w:spacing w:after="200"/>
        <w:jc w:val="center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i/>
          <w:iCs/>
          <w:color w:val="595959"/>
          <w:sz w:val="24"/>
          <w:szCs w:val="24"/>
        </w:rPr>
        <w:t>Doc. 6 : axe des temps (en Ma, de 4 millions d'années à l'actuel) à utiliser pour construire le graphique des périodes d'existence des espèces étudiées.</w:t>
      </w:r>
    </w:p>
    <w:p w14:paraId="6C6F88BD" w14:textId="77777777" w:rsidR="00F449A8" w:rsidRPr="00F449A8" w:rsidRDefault="00F449A8" w:rsidP="00F449A8">
      <w:pPr>
        <w:pStyle w:val="Titre2"/>
        <w:pBdr>
          <w:bottom w:val="single" w:sz="6" w:space="2" w:color="2E5395"/>
        </w:pBdr>
        <w:spacing w:before="260" w:after="120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b/>
          <w:bCs/>
          <w:color w:val="1F3864"/>
          <w:sz w:val="24"/>
          <w:szCs w:val="24"/>
        </w:rPr>
        <w:t>Consignes</w:t>
      </w:r>
    </w:p>
    <w:p w14:paraId="0DDDAD01" w14:textId="77777777" w:rsidR="00F449A8" w:rsidRPr="00F449A8" w:rsidRDefault="00F449A8" w:rsidP="00F449A8">
      <w:pPr>
        <w:spacing w:after="80"/>
        <w:ind w:left="260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sz w:val="24"/>
          <w:szCs w:val="24"/>
        </w:rPr>
        <w:t>1. Réaliser les mesures d'angle facial et de rapport hauteur/longueur sur les crânes présentés (Doc. 2 et 3), puis présenter les résultats sous forme d'un tableau dans lequel apparaissent la capacité crânienne et la position du trou occipital.</w:t>
      </w:r>
    </w:p>
    <w:p w14:paraId="0C42BA09" w14:textId="77777777" w:rsidR="00F449A8" w:rsidRPr="00F449A8" w:rsidRDefault="00F449A8" w:rsidP="00F449A8">
      <w:pPr>
        <w:spacing w:after="80"/>
        <w:ind w:left="260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sz w:val="24"/>
          <w:szCs w:val="24"/>
        </w:rPr>
        <w:t>2. Commenter l'évolution de la mandibule au cours du temps (Doc. 4).</w:t>
      </w:r>
    </w:p>
    <w:p w14:paraId="76E7A75C" w14:textId="77777777" w:rsidR="00F449A8" w:rsidRPr="00F449A8" w:rsidRDefault="00F449A8" w:rsidP="00F449A8">
      <w:pPr>
        <w:spacing w:after="80"/>
        <w:ind w:left="260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sz w:val="24"/>
          <w:szCs w:val="24"/>
        </w:rPr>
        <w:t>3. Compléter avec les données l'arbre du Document 5.</w:t>
      </w:r>
    </w:p>
    <w:p w14:paraId="300C6830" w14:textId="77777777" w:rsidR="00F449A8" w:rsidRPr="00F449A8" w:rsidRDefault="00F449A8" w:rsidP="00F449A8">
      <w:pPr>
        <w:spacing w:after="80"/>
        <w:ind w:left="260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sz w:val="24"/>
          <w:szCs w:val="24"/>
        </w:rPr>
        <w:t>4. Construire un graphique présentant les fenêtres d'existence des espèces étudiées (à partir du Doc. 6).</w:t>
      </w:r>
    </w:p>
    <w:p w14:paraId="6705C556" w14:textId="77777777" w:rsidR="00F449A8" w:rsidRPr="00F449A8" w:rsidRDefault="00F449A8" w:rsidP="00F449A8">
      <w:pPr>
        <w:spacing w:after="80"/>
        <w:ind w:left="260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sz w:val="24"/>
          <w:szCs w:val="24"/>
        </w:rPr>
        <w:t>5. Justifier le caractère buissonnant et non linéaire de la lignée humaine ainsi que la cohabitation de différentes espèces humaines sur Terre, à partir des réponses aux deux questions précédentes.</w:t>
      </w:r>
    </w:p>
    <w:p w14:paraId="63707485" w14:textId="77777777" w:rsidR="00F449A8" w:rsidRPr="00F449A8" w:rsidRDefault="00F449A8" w:rsidP="00F449A8">
      <w:pPr>
        <w:spacing w:after="80"/>
        <w:ind w:left="260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sz w:val="24"/>
          <w:szCs w:val="24"/>
        </w:rPr>
        <w:t>6. Conclure avec un résumé des principales modifications des caractéristiques crâniennes de la lignée humaine.</w:t>
      </w:r>
    </w:p>
    <w:p w14:paraId="6C32EAF4" w14:textId="77777777" w:rsidR="00F449A8" w:rsidRPr="00F449A8" w:rsidRDefault="00F449A8" w:rsidP="00F449A8">
      <w:pPr>
        <w:spacing w:after="100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sz w:val="24"/>
          <w:szCs w:val="24"/>
        </w:rPr>
        <w:t xml:space="preserve">Pour compléter : </w:t>
      </w:r>
      <w:hyperlink r:id="rId16" w:history="1">
        <w:r w:rsidRPr="00F449A8">
          <w:rPr>
            <w:rStyle w:val="Lienhypertexte"/>
            <w:rFonts w:ascii="Arial" w:hAnsi="Arial" w:cs="Arial"/>
            <w:sz w:val="24"/>
            <w:szCs w:val="24"/>
          </w:rPr>
          <w:t>https://www.youtube.com/watch?v=WwALB_hMZ_g</w:t>
        </w:r>
      </w:hyperlink>
    </w:p>
    <w:p w14:paraId="786C8E45" w14:textId="77777777" w:rsidR="00F449A8" w:rsidRPr="00F449A8" w:rsidRDefault="00F449A8" w:rsidP="00F449A8">
      <w:pPr>
        <w:pStyle w:val="Titre2"/>
        <w:pBdr>
          <w:bottom w:val="single" w:sz="6" w:space="2" w:color="2E5395"/>
        </w:pBdr>
        <w:spacing w:before="260" w:after="120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b/>
          <w:bCs/>
          <w:color w:val="1F3864"/>
          <w:sz w:val="24"/>
          <w:szCs w:val="24"/>
        </w:rPr>
        <w:lastRenderedPageBreak/>
        <w:t>Compétences travaillées</w:t>
      </w:r>
    </w:p>
    <w:p w14:paraId="779AE22D" w14:textId="77777777" w:rsidR="00F449A8" w:rsidRPr="00F449A8" w:rsidRDefault="00F449A8" w:rsidP="00F449A8">
      <w:pPr>
        <w:pStyle w:val="Paragraphedeliste"/>
        <w:numPr>
          <w:ilvl w:val="0"/>
          <w:numId w:val="1"/>
        </w:numPr>
        <w:spacing w:after="80"/>
        <w:contextualSpacing w:val="0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sz w:val="24"/>
          <w:szCs w:val="24"/>
        </w:rPr>
        <w:t>Savoir utiliser un outil numérique de mesure et de comparaison de données (</w:t>
      </w:r>
      <w:proofErr w:type="spellStart"/>
      <w:r w:rsidRPr="00F449A8">
        <w:rPr>
          <w:rFonts w:ascii="Arial" w:hAnsi="Arial" w:cs="Arial"/>
          <w:sz w:val="24"/>
          <w:szCs w:val="24"/>
        </w:rPr>
        <w:t>cosphilog</w:t>
      </w:r>
      <w:proofErr w:type="spellEnd"/>
      <w:r w:rsidRPr="00F449A8">
        <w:rPr>
          <w:rFonts w:ascii="Arial" w:hAnsi="Arial" w:cs="Arial"/>
          <w:sz w:val="24"/>
          <w:szCs w:val="24"/>
        </w:rPr>
        <w:t>).</w:t>
      </w:r>
    </w:p>
    <w:p w14:paraId="0BE3D4F5" w14:textId="77777777" w:rsidR="00F449A8" w:rsidRPr="00F449A8" w:rsidRDefault="00F449A8" w:rsidP="00F449A8">
      <w:pPr>
        <w:pStyle w:val="Paragraphedeliste"/>
        <w:numPr>
          <w:ilvl w:val="0"/>
          <w:numId w:val="1"/>
        </w:numPr>
        <w:spacing w:after="80"/>
        <w:contextualSpacing w:val="0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sz w:val="24"/>
          <w:szCs w:val="24"/>
        </w:rPr>
        <w:t>Exploiter l'information utile.</w:t>
      </w:r>
    </w:p>
    <w:p w14:paraId="3E6D712D" w14:textId="77777777" w:rsidR="00F449A8" w:rsidRPr="00F449A8" w:rsidRDefault="00F449A8" w:rsidP="00F449A8">
      <w:pPr>
        <w:pStyle w:val="Paragraphedeliste"/>
        <w:numPr>
          <w:ilvl w:val="0"/>
          <w:numId w:val="1"/>
        </w:numPr>
        <w:spacing w:after="80"/>
        <w:contextualSpacing w:val="0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sz w:val="24"/>
          <w:szCs w:val="24"/>
        </w:rPr>
        <w:t>Raisonner, argumenter scientifiquement.</w:t>
      </w:r>
    </w:p>
    <w:p w14:paraId="079BB1B4" w14:textId="77777777" w:rsidR="00F449A8" w:rsidRPr="00F449A8" w:rsidRDefault="00F449A8" w:rsidP="00F449A8">
      <w:pPr>
        <w:pStyle w:val="Titre2"/>
        <w:pBdr>
          <w:bottom w:val="single" w:sz="6" w:space="2" w:color="2E5395"/>
        </w:pBdr>
        <w:spacing w:before="260" w:after="120"/>
        <w:rPr>
          <w:rFonts w:ascii="Arial" w:hAnsi="Arial" w:cs="Arial"/>
          <w:sz w:val="24"/>
          <w:szCs w:val="24"/>
        </w:rPr>
      </w:pPr>
      <w:r w:rsidRPr="00F449A8">
        <w:rPr>
          <w:rFonts w:ascii="Arial" w:hAnsi="Arial" w:cs="Arial"/>
          <w:b/>
          <w:bCs/>
          <w:color w:val="1F3864"/>
          <w:sz w:val="24"/>
          <w:szCs w:val="24"/>
        </w:rPr>
        <w:t>Grille d'évaluation indicative (/20)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35"/>
        <w:gridCol w:w="1121"/>
      </w:tblGrid>
      <w:tr w:rsidR="00F449A8" w:rsidRPr="00F449A8" w14:paraId="229D4767" w14:textId="77777777" w:rsidTr="00021E98">
        <w:trPr>
          <w:tblHeader/>
        </w:trPr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FCFE82" w14:textId="77777777" w:rsidR="00F449A8" w:rsidRPr="00F449A8" w:rsidRDefault="00F449A8" w:rsidP="00021E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49A8">
              <w:rPr>
                <w:rFonts w:ascii="Arial" w:hAnsi="Arial" w:cs="Arial"/>
                <w:b/>
                <w:bCs/>
                <w:sz w:val="24"/>
                <w:szCs w:val="24"/>
              </w:rPr>
              <w:t>Critère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BCC34D" w14:textId="77777777" w:rsidR="00F449A8" w:rsidRPr="00F449A8" w:rsidRDefault="00F449A8" w:rsidP="00021E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49A8">
              <w:rPr>
                <w:rFonts w:ascii="Arial" w:hAnsi="Arial" w:cs="Arial"/>
                <w:b/>
                <w:bCs/>
                <w:sz w:val="24"/>
                <w:szCs w:val="24"/>
              </w:rPr>
              <w:t>Barème</w:t>
            </w:r>
          </w:p>
        </w:tc>
      </w:tr>
      <w:tr w:rsidR="00F449A8" w:rsidRPr="00F449A8" w14:paraId="3CB683BA" w14:textId="77777777" w:rsidTr="00021E98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C8F983" w14:textId="77777777" w:rsidR="00F449A8" w:rsidRPr="00F449A8" w:rsidRDefault="00F449A8" w:rsidP="00021E98">
            <w:pPr>
              <w:rPr>
                <w:rFonts w:ascii="Arial" w:hAnsi="Arial" w:cs="Arial"/>
                <w:sz w:val="24"/>
                <w:szCs w:val="24"/>
              </w:rPr>
            </w:pPr>
            <w:r w:rsidRPr="00F449A8">
              <w:rPr>
                <w:rFonts w:ascii="Arial" w:hAnsi="Arial" w:cs="Arial"/>
                <w:sz w:val="24"/>
                <w:szCs w:val="24"/>
              </w:rPr>
              <w:t>Mesures réalisées correctement (angle facial, rapport H/L) et tableau complet et lisible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18C7D1" w14:textId="77777777" w:rsidR="00F449A8" w:rsidRPr="00F449A8" w:rsidRDefault="00F449A8" w:rsidP="00021E98">
            <w:pPr>
              <w:rPr>
                <w:rFonts w:ascii="Arial" w:hAnsi="Arial" w:cs="Arial"/>
                <w:sz w:val="24"/>
                <w:szCs w:val="24"/>
              </w:rPr>
            </w:pPr>
            <w:r w:rsidRPr="00F449A8">
              <w:rPr>
                <w:rFonts w:ascii="Arial" w:hAnsi="Arial" w:cs="Arial"/>
                <w:sz w:val="24"/>
                <w:szCs w:val="24"/>
              </w:rPr>
              <w:t>/4</w:t>
            </w:r>
          </w:p>
        </w:tc>
      </w:tr>
      <w:tr w:rsidR="00F449A8" w:rsidRPr="00F449A8" w14:paraId="60A4E081" w14:textId="77777777" w:rsidTr="00021E98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E85880" w14:textId="77777777" w:rsidR="00F449A8" w:rsidRPr="00F449A8" w:rsidRDefault="00F449A8" w:rsidP="00021E98">
            <w:pPr>
              <w:rPr>
                <w:rFonts w:ascii="Arial" w:hAnsi="Arial" w:cs="Arial"/>
                <w:sz w:val="24"/>
                <w:szCs w:val="24"/>
              </w:rPr>
            </w:pPr>
            <w:r w:rsidRPr="00F449A8">
              <w:rPr>
                <w:rFonts w:ascii="Arial" w:hAnsi="Arial" w:cs="Arial"/>
                <w:sz w:val="24"/>
                <w:szCs w:val="24"/>
              </w:rPr>
              <w:t>Commentaire pertinent de l'évolution de la mandibule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980FDA" w14:textId="77777777" w:rsidR="00F449A8" w:rsidRPr="00F449A8" w:rsidRDefault="00F449A8" w:rsidP="00021E98">
            <w:pPr>
              <w:rPr>
                <w:rFonts w:ascii="Arial" w:hAnsi="Arial" w:cs="Arial"/>
                <w:sz w:val="24"/>
                <w:szCs w:val="24"/>
              </w:rPr>
            </w:pPr>
            <w:r w:rsidRPr="00F449A8">
              <w:rPr>
                <w:rFonts w:ascii="Arial" w:hAnsi="Arial" w:cs="Arial"/>
                <w:sz w:val="24"/>
                <w:szCs w:val="24"/>
              </w:rPr>
              <w:t>/2</w:t>
            </w:r>
          </w:p>
        </w:tc>
      </w:tr>
      <w:tr w:rsidR="00F449A8" w:rsidRPr="00F449A8" w14:paraId="6AFDBC1B" w14:textId="77777777" w:rsidTr="00021E98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45AB8D" w14:textId="77777777" w:rsidR="00F449A8" w:rsidRPr="00F449A8" w:rsidRDefault="00F449A8" w:rsidP="00021E98">
            <w:pPr>
              <w:rPr>
                <w:rFonts w:ascii="Arial" w:hAnsi="Arial" w:cs="Arial"/>
                <w:sz w:val="24"/>
                <w:szCs w:val="24"/>
              </w:rPr>
            </w:pPr>
            <w:r w:rsidRPr="00F449A8">
              <w:rPr>
                <w:rFonts w:ascii="Arial" w:hAnsi="Arial" w:cs="Arial"/>
                <w:sz w:val="24"/>
                <w:szCs w:val="24"/>
              </w:rPr>
              <w:t>Arbre de parenté complété de façon cohérente avec les données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D30F45" w14:textId="77777777" w:rsidR="00F449A8" w:rsidRPr="00F449A8" w:rsidRDefault="00F449A8" w:rsidP="00021E98">
            <w:pPr>
              <w:rPr>
                <w:rFonts w:ascii="Arial" w:hAnsi="Arial" w:cs="Arial"/>
                <w:sz w:val="24"/>
                <w:szCs w:val="24"/>
              </w:rPr>
            </w:pPr>
            <w:r w:rsidRPr="00F449A8">
              <w:rPr>
                <w:rFonts w:ascii="Arial" w:hAnsi="Arial" w:cs="Arial"/>
                <w:sz w:val="24"/>
                <w:szCs w:val="24"/>
              </w:rPr>
              <w:t>/4</w:t>
            </w:r>
          </w:p>
        </w:tc>
      </w:tr>
      <w:tr w:rsidR="00F449A8" w:rsidRPr="00F449A8" w14:paraId="133F9448" w14:textId="77777777" w:rsidTr="00021E98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264355" w14:textId="77777777" w:rsidR="00F449A8" w:rsidRPr="00F449A8" w:rsidRDefault="00F449A8" w:rsidP="00021E98">
            <w:pPr>
              <w:rPr>
                <w:rFonts w:ascii="Arial" w:hAnsi="Arial" w:cs="Arial"/>
                <w:sz w:val="24"/>
                <w:szCs w:val="24"/>
              </w:rPr>
            </w:pPr>
            <w:r w:rsidRPr="00F449A8">
              <w:rPr>
                <w:rFonts w:ascii="Arial" w:hAnsi="Arial" w:cs="Arial"/>
                <w:sz w:val="24"/>
                <w:szCs w:val="24"/>
              </w:rPr>
              <w:t>Graphique des fenêtres d'existence correctement construit (échelle, espèces positionnées)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F1E089" w14:textId="77777777" w:rsidR="00F449A8" w:rsidRPr="00F449A8" w:rsidRDefault="00F449A8" w:rsidP="00021E98">
            <w:pPr>
              <w:rPr>
                <w:rFonts w:ascii="Arial" w:hAnsi="Arial" w:cs="Arial"/>
                <w:sz w:val="24"/>
                <w:szCs w:val="24"/>
              </w:rPr>
            </w:pPr>
            <w:r w:rsidRPr="00F449A8">
              <w:rPr>
                <w:rFonts w:ascii="Arial" w:hAnsi="Arial" w:cs="Arial"/>
                <w:sz w:val="24"/>
                <w:szCs w:val="24"/>
              </w:rPr>
              <w:t>/4</w:t>
            </w:r>
          </w:p>
        </w:tc>
      </w:tr>
      <w:tr w:rsidR="00F449A8" w:rsidRPr="00F449A8" w14:paraId="1DE858FA" w14:textId="77777777" w:rsidTr="00021E98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283D97" w14:textId="77777777" w:rsidR="00F449A8" w:rsidRPr="00F449A8" w:rsidRDefault="00F449A8" w:rsidP="00021E98">
            <w:pPr>
              <w:rPr>
                <w:rFonts w:ascii="Arial" w:hAnsi="Arial" w:cs="Arial"/>
                <w:sz w:val="24"/>
                <w:szCs w:val="24"/>
              </w:rPr>
            </w:pPr>
            <w:r w:rsidRPr="00F449A8">
              <w:rPr>
                <w:rFonts w:ascii="Arial" w:hAnsi="Arial" w:cs="Arial"/>
                <w:sz w:val="24"/>
                <w:szCs w:val="24"/>
              </w:rPr>
              <w:t>Argumentation sur le caractère buissonnant de la lignée humaine et la cohabitation d'espèces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CF7C81" w14:textId="77777777" w:rsidR="00F449A8" w:rsidRPr="00F449A8" w:rsidRDefault="00F449A8" w:rsidP="00021E98">
            <w:pPr>
              <w:rPr>
                <w:rFonts w:ascii="Arial" w:hAnsi="Arial" w:cs="Arial"/>
                <w:sz w:val="24"/>
                <w:szCs w:val="24"/>
              </w:rPr>
            </w:pPr>
            <w:r w:rsidRPr="00F449A8">
              <w:rPr>
                <w:rFonts w:ascii="Arial" w:hAnsi="Arial" w:cs="Arial"/>
                <w:sz w:val="24"/>
                <w:szCs w:val="24"/>
              </w:rPr>
              <w:t>/4</w:t>
            </w:r>
          </w:p>
        </w:tc>
      </w:tr>
      <w:tr w:rsidR="00F449A8" w:rsidRPr="00F449A8" w14:paraId="605D931B" w14:textId="77777777" w:rsidTr="00021E98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AA28D0" w14:textId="77777777" w:rsidR="00F449A8" w:rsidRPr="00F449A8" w:rsidRDefault="00F449A8" w:rsidP="00021E98">
            <w:pPr>
              <w:rPr>
                <w:rFonts w:ascii="Arial" w:hAnsi="Arial" w:cs="Arial"/>
                <w:sz w:val="24"/>
                <w:szCs w:val="24"/>
              </w:rPr>
            </w:pPr>
            <w:r w:rsidRPr="00F449A8">
              <w:rPr>
                <w:rFonts w:ascii="Arial" w:hAnsi="Arial" w:cs="Arial"/>
                <w:sz w:val="24"/>
                <w:szCs w:val="24"/>
              </w:rPr>
              <w:t>Conclusion synthétique sur les tendances évolutives crâniennes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ECA408" w14:textId="77777777" w:rsidR="00F449A8" w:rsidRPr="00F449A8" w:rsidRDefault="00F449A8" w:rsidP="00021E98">
            <w:pPr>
              <w:rPr>
                <w:rFonts w:ascii="Arial" w:hAnsi="Arial" w:cs="Arial"/>
                <w:sz w:val="24"/>
                <w:szCs w:val="24"/>
              </w:rPr>
            </w:pPr>
            <w:r w:rsidRPr="00F449A8">
              <w:rPr>
                <w:rFonts w:ascii="Arial" w:hAnsi="Arial" w:cs="Arial"/>
                <w:sz w:val="24"/>
                <w:szCs w:val="24"/>
              </w:rPr>
              <w:t>/2</w:t>
            </w:r>
          </w:p>
        </w:tc>
      </w:tr>
    </w:tbl>
    <w:p w14:paraId="00E1689A" w14:textId="1E0DA9FB" w:rsidR="00F449A8" w:rsidRPr="00F449A8" w:rsidRDefault="00F449A8" w:rsidP="00F449A8">
      <w:pPr>
        <w:rPr>
          <w:rFonts w:ascii="Arial" w:hAnsi="Arial" w:cs="Arial"/>
          <w:sz w:val="24"/>
          <w:szCs w:val="24"/>
        </w:rPr>
      </w:pPr>
    </w:p>
    <w:sectPr w:rsidR="00F449A8" w:rsidRPr="00F449A8" w:rsidSect="00F449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82A9E"/>
    <w:multiLevelType w:val="hybridMultilevel"/>
    <w:tmpl w:val="73228110"/>
    <w:lvl w:ilvl="0" w:tplc="E15C3B64">
      <w:start w:val="1"/>
      <w:numFmt w:val="bullet"/>
      <w:lvlText w:val="●"/>
      <w:lvlJc w:val="left"/>
      <w:pPr>
        <w:ind w:left="720" w:hanging="360"/>
      </w:pPr>
    </w:lvl>
    <w:lvl w:ilvl="1" w:tplc="DEFC2900">
      <w:start w:val="1"/>
      <w:numFmt w:val="bullet"/>
      <w:lvlText w:val="○"/>
      <w:lvlJc w:val="left"/>
      <w:pPr>
        <w:ind w:left="1440" w:hanging="360"/>
      </w:pPr>
    </w:lvl>
    <w:lvl w:ilvl="2" w:tplc="609A4CAC">
      <w:start w:val="1"/>
      <w:numFmt w:val="bullet"/>
      <w:lvlText w:val="■"/>
      <w:lvlJc w:val="left"/>
      <w:pPr>
        <w:ind w:left="2160" w:hanging="360"/>
      </w:pPr>
    </w:lvl>
    <w:lvl w:ilvl="3" w:tplc="B5B43B06">
      <w:start w:val="1"/>
      <w:numFmt w:val="bullet"/>
      <w:lvlText w:val="●"/>
      <w:lvlJc w:val="left"/>
      <w:pPr>
        <w:ind w:left="2880" w:hanging="360"/>
      </w:pPr>
    </w:lvl>
    <w:lvl w:ilvl="4" w:tplc="D07249BA">
      <w:start w:val="1"/>
      <w:numFmt w:val="bullet"/>
      <w:lvlText w:val="○"/>
      <w:lvlJc w:val="left"/>
      <w:pPr>
        <w:ind w:left="3600" w:hanging="360"/>
      </w:pPr>
    </w:lvl>
    <w:lvl w:ilvl="5" w:tplc="B920A4F2">
      <w:start w:val="1"/>
      <w:numFmt w:val="bullet"/>
      <w:lvlText w:val="■"/>
      <w:lvlJc w:val="left"/>
      <w:pPr>
        <w:ind w:left="4320" w:hanging="360"/>
      </w:pPr>
    </w:lvl>
    <w:lvl w:ilvl="6" w:tplc="7D883166">
      <w:start w:val="1"/>
      <w:numFmt w:val="bullet"/>
      <w:lvlText w:val="●"/>
      <w:lvlJc w:val="left"/>
      <w:pPr>
        <w:ind w:left="5040" w:hanging="360"/>
      </w:pPr>
    </w:lvl>
    <w:lvl w:ilvl="7" w:tplc="7E78372A">
      <w:start w:val="1"/>
      <w:numFmt w:val="bullet"/>
      <w:lvlText w:val="●"/>
      <w:lvlJc w:val="left"/>
      <w:pPr>
        <w:ind w:left="5760" w:hanging="360"/>
      </w:pPr>
    </w:lvl>
    <w:lvl w:ilvl="8" w:tplc="A4A6FE72">
      <w:start w:val="1"/>
      <w:numFmt w:val="bullet"/>
      <w:lvlText w:val="●"/>
      <w:lvlJc w:val="left"/>
      <w:pPr>
        <w:ind w:left="6480" w:hanging="360"/>
      </w:pPr>
    </w:lvl>
  </w:abstractNum>
  <w:num w:numId="1" w16cid:durableId="181857444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9A8"/>
    <w:rsid w:val="000F2E6F"/>
    <w:rsid w:val="0061424F"/>
    <w:rsid w:val="0071471E"/>
    <w:rsid w:val="00747F75"/>
    <w:rsid w:val="007F5ABE"/>
    <w:rsid w:val="00F4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C3D91"/>
  <w15:chartTrackingRefBased/>
  <w15:docId w15:val="{E5C95590-F1DA-4AC8-95C0-5B29E71D5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9A8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44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44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449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44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449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449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449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449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449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449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449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449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449A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449A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449A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449A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449A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449A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449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44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44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44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44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449A8"/>
    <w:rPr>
      <w:i/>
      <w:iCs/>
      <w:color w:val="404040" w:themeColor="text1" w:themeTint="BF"/>
    </w:rPr>
  </w:style>
  <w:style w:type="paragraph" w:styleId="Paragraphedeliste">
    <w:name w:val="List Paragraph"/>
    <w:basedOn w:val="Normal"/>
    <w:qFormat/>
    <w:rsid w:val="00F449A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449A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449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449A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449A8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uiPriority w:val="99"/>
    <w:unhideWhenUsed/>
    <w:rsid w:val="00F449A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WwALB_hMZ_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cosphilog.fr/showroom/?m=AAIV,AAIW,AAKZ,AAIZ,AAJA,AAJB,AAPZ,AAQA" TargetMode="External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659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Mike</cp:lastModifiedBy>
  <cp:revision>1</cp:revision>
  <dcterms:created xsi:type="dcterms:W3CDTF">2026-07-23T10:26:00Z</dcterms:created>
  <dcterms:modified xsi:type="dcterms:W3CDTF">2026-07-23T10:28:00Z</dcterms:modified>
</cp:coreProperties>
</file>