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Calibri" w:cs="Calibri" w:eastAsia="Calibri" w:hAnsi="Calibri"/>
          <w:b/>
          <w:bCs/>
          <w:color w:val="1B2A4A"/>
          <w:sz w:val="34"/>
          <w:szCs w:val="34"/>
        </w:rPr>
        <w:t xml:space="preserve">TERMINALE TG7 — ANNÉE 2026-2027</w:t>
      </w:r>
    </w:p>
    <w:p>
      <w:pPr>
        <w:spacing w:after="40"/>
        <w:jc w:val="center"/>
      </w:pPr>
      <w:r>
        <w:rPr>
          <w:rFonts w:ascii="Calibri" w:cs="Calibri" w:eastAsia="Calibri" w:hAnsi="Calibri"/>
          <w:i/>
          <w:iCs/>
          <w:color w:val="2E5C99"/>
          <w:sz w:val="21"/>
          <w:szCs w:val="21"/>
        </w:rPr>
        <w:t xml:space="preserve">Repères pour les familles — Lycée Romain Rolland</w:t>
      </w:r>
    </w:p>
    <w:p>
      <w:pPr>
        <w:pBdr>
          <w:bottom w:val="single" w:color="B8892B" w:sz="10" w:space="6"/>
        </w:pBdr>
        <w:spacing w:after="140"/>
        <w:jc w:val="center"/>
      </w:pPr>
      <w:r>
        <w:rPr>
          <w:rFonts w:ascii="Calibri" w:cs="Calibri" w:eastAsia="Calibri" w:hAnsi="Calibri"/>
          <w:color w:val="595959"/>
          <w:sz w:val="17"/>
          <w:szCs w:val="17"/>
        </w:rPr>
        <w:t xml:space="preserve">Réunion parents-professeurs du 19 septembre 2026 · Professeurs principaux : Mme Boutin-Puech, M. Jamaleddine</w:t>
      </w:r>
    </w:p>
    <w:p>
      <w:pPr>
        <w:pBdr>
          <w:bottom w:val="single" w:color="2E5C99" w:sz="4" w:space="4"/>
        </w:pBdr>
        <w:spacing w:after="70" w:before="160"/>
      </w:pPr>
      <w:r>
        <w:rPr>
          <w:rFonts w:ascii="Calibri" w:cs="Calibri" w:eastAsia="Calibri" w:hAnsi="Calibri"/>
          <w:b/>
          <w:bCs/>
          <w:color w:val="1B2A4A"/>
          <w:spacing w:val="6"/>
          <w:sz w:val="21"/>
          <w:szCs w:val="21"/>
        </w:rPr>
        <w:t xml:space="preserve">LES ENJEUX DE L'ANNÉE DE TERMINALE</w:t>
      </w:r>
    </w:p>
    <w:p>
      <w:pPr>
        <w:spacing w:after="50"/>
      </w:pPr>
      <w:r>
        <w:rPr>
          <w:rFonts w:ascii="Calibri" w:cs="Calibri" w:eastAsia="Calibri" w:hAnsi="Calibri"/>
          <w:color w:val="262626"/>
          <w:sz w:val="18"/>
          <w:szCs w:val="18"/>
        </w:rPr>
        <w:t xml:space="preserve">La terminale est l'année de préparation aux épreuves finales du baccalauréat et de finalisation du projet d'orientation post-bac.</w:t>
      </w:r>
    </w:p>
    <w:p>
      <w:pPr>
        <w:spacing w:after="30"/>
        <w:ind w:left="260" w:hanging="180"/>
      </w:pPr>
      <w:r>
        <w:rPr>
          <w:rFonts w:ascii="Calibri" w:cs="Calibri" w:eastAsia="Calibri" w:hAnsi="Calibri"/>
          <w:b/>
          <w:bCs/>
          <w:color w:val="2E5C99"/>
          <w:sz w:val="18"/>
          <w:szCs w:val="18"/>
        </w:rPr>
        <w:t xml:space="preserve">–  </w:t>
      </w:r>
      <w:r>
        <w:rPr>
          <w:rFonts w:ascii="Calibri" w:cs="Calibri" w:eastAsia="Calibri" w:hAnsi="Calibri"/>
          <w:b/>
          <w:bCs/>
          <w:color w:val="1B2A4A"/>
          <w:sz w:val="18"/>
          <w:szCs w:val="18"/>
        </w:rPr>
        <w:t xml:space="preserve">Le baccalauréat : </w:t>
      </w:r>
      <w:r>
        <w:rPr>
          <w:rFonts w:ascii="Calibri" w:cs="Calibri" w:eastAsia="Calibri" w:hAnsi="Calibri"/>
          <w:color w:val="262626"/>
          <w:sz w:val="18"/>
          <w:szCs w:val="18"/>
        </w:rPr>
        <w:t xml:space="preserve">épreuves terminales (français déjà passé en 1ère, philosophie, deux spécialités, Grand Oral) et contrôle continu (moyennes de 1ère et terminale).</w:t>
      </w:r>
    </w:p>
    <w:p>
      <w:pPr>
        <w:spacing w:after="30"/>
        <w:ind w:left="260" w:hanging="180"/>
      </w:pPr>
      <w:r>
        <w:rPr>
          <w:rFonts w:ascii="Calibri" w:cs="Calibri" w:eastAsia="Calibri" w:hAnsi="Calibri"/>
          <w:b/>
          <w:bCs/>
          <w:color w:val="2E5C99"/>
          <w:sz w:val="18"/>
          <w:szCs w:val="18"/>
        </w:rPr>
        <w:t xml:space="preserve">–  </w:t>
      </w:r>
      <w:r>
        <w:rPr>
          <w:rFonts w:ascii="Calibri" w:cs="Calibri" w:eastAsia="Calibri" w:hAnsi="Calibri"/>
          <w:b/>
          <w:bCs/>
          <w:color w:val="1B2A4A"/>
          <w:sz w:val="18"/>
          <w:szCs w:val="18"/>
        </w:rPr>
        <w:t xml:space="preserve">Le Grand Oral : </w:t>
      </w:r>
      <w:r>
        <w:rPr>
          <w:rFonts w:ascii="Calibri" w:cs="Calibri" w:eastAsia="Calibri" w:hAnsi="Calibri"/>
          <w:color w:val="262626"/>
          <w:sz w:val="18"/>
          <w:szCs w:val="18"/>
        </w:rPr>
        <w:t xml:space="preserve">épreuve orale de fin d'année évaluant la prise de parole, les connaissances et l'argumentation de l'élève.</w:t>
      </w:r>
    </w:p>
    <w:p>
      <w:pPr>
        <w:spacing w:after="30"/>
        <w:ind w:left="260" w:hanging="180"/>
      </w:pPr>
      <w:r>
        <w:rPr>
          <w:rFonts w:ascii="Calibri" w:cs="Calibri" w:eastAsia="Calibri" w:hAnsi="Calibri"/>
          <w:b/>
          <w:bCs/>
          <w:color w:val="2E5C99"/>
          <w:sz w:val="18"/>
          <w:szCs w:val="18"/>
        </w:rPr>
        <w:t xml:space="preserve">–  </w:t>
      </w:r>
      <w:r>
        <w:rPr>
          <w:rFonts w:ascii="Calibri" w:cs="Calibri" w:eastAsia="Calibri" w:hAnsi="Calibri"/>
          <w:b/>
          <w:bCs/>
          <w:color w:val="1B2A4A"/>
          <w:sz w:val="18"/>
          <w:szCs w:val="18"/>
        </w:rPr>
        <w:t xml:space="preserve">L'orientation post-bac : </w:t>
      </w:r>
      <w:r>
        <w:rPr>
          <w:rFonts w:ascii="Calibri" w:cs="Calibri" w:eastAsia="Calibri" w:hAnsi="Calibri"/>
          <w:color w:val="262626"/>
          <w:sz w:val="18"/>
          <w:szCs w:val="18"/>
        </w:rPr>
        <w:t xml:space="preserve">constitution des vœux sur Parcoursup, avec l'appui du Psychologue de l'Éducation nationale (PsyEN).</w:t>
      </w:r>
    </w:p>
    <w:p>
      <w:pPr>
        <w:spacing w:after="30"/>
        <w:ind w:left="260" w:hanging="180"/>
      </w:pPr>
      <w:r>
        <w:rPr>
          <w:rFonts w:ascii="Calibri" w:cs="Calibri" w:eastAsia="Calibri" w:hAnsi="Calibri"/>
          <w:b/>
          <w:bCs/>
          <w:color w:val="2E5C99"/>
          <w:sz w:val="18"/>
          <w:szCs w:val="18"/>
        </w:rPr>
        <w:t xml:space="preserve">–  </w:t>
      </w:r>
      <w:r>
        <w:rPr>
          <w:rFonts w:ascii="Calibri" w:cs="Calibri" w:eastAsia="Calibri" w:hAnsi="Calibri"/>
          <w:b/>
          <w:bCs/>
          <w:color w:val="1B2A4A"/>
          <w:sz w:val="18"/>
          <w:szCs w:val="18"/>
        </w:rPr>
        <w:t xml:space="preserve">La certification PIX : </w:t>
      </w:r>
      <w:r>
        <w:rPr>
          <w:rFonts w:ascii="Calibri" w:cs="Calibri" w:eastAsia="Calibri" w:hAnsi="Calibri"/>
          <w:color w:val="262626"/>
          <w:sz w:val="18"/>
          <w:szCs w:val="18"/>
        </w:rPr>
        <w:t xml:space="preserve">évaluation nationale des compétences numériques, inscrite au livret scolaire (non requise pour l'obtention du bac).</w:t>
      </w:r>
    </w:p>
    <w:p>
      <w:pPr>
        <w:pBdr>
          <w:bottom w:val="single" w:color="2E5C99" w:sz="4" w:space="4"/>
        </w:pBdr>
        <w:spacing w:after="70" w:before="160"/>
      </w:pPr>
      <w:r>
        <w:rPr>
          <w:rFonts w:ascii="Calibri" w:cs="Calibri" w:eastAsia="Calibri" w:hAnsi="Calibri"/>
          <w:b/>
          <w:bCs/>
          <w:color w:val="1B2A4A"/>
          <w:spacing w:val="6"/>
          <w:sz w:val="21"/>
          <w:szCs w:val="21"/>
        </w:rPr>
        <w:t xml:space="preserve">DATES IMPORTANTES 2026-2027</w:t>
      </w:r>
    </w:p>
    <w:tbl>
      <w:tblPr>
        <w:tblW w:type="dxa" w:w="8900"/>
        <w:tblBorders>
          <w:top w:val="none"/>
          <w:left w:val="none"/>
          <w:bottom w:val="none"/>
          <w:right w:val="none"/>
          <w:insideH w:val="single" w:color="D9D9D9" w:sz="2"/>
          <w:insideV w:val="none"/>
        </w:tblBorders>
      </w:tblPr>
      <w:tblGrid>
        <w:gridCol w:w="2600"/>
        <w:gridCol w:w="6300"/>
      </w:tblGrid>
      <w:tr>
        <w:tc>
          <w:tcPr>
            <w:tcW w:type="dxa" w:w="2600"/>
            <w:shd w:fill="EAF1FA" w:color="auto" w:val="clear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B2A4A"/>
                <w:sz w:val="17"/>
                <w:szCs w:val="17"/>
              </w:rPr>
              <w:t xml:space="preserve">23-24-25 sept. 2026</w:t>
            </w:r>
          </w:p>
        </w:tc>
        <w:tc>
          <w:tcPr>
            <w:tcW w:type="dxa" w:w="6300"/>
            <w:shd w:fill="EAF1FA" w:color="auto" w:val="clear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color w:val="262626"/>
                <w:sz w:val="17"/>
                <w:szCs w:val="17"/>
              </w:rPr>
              <w:t xml:space="preserve">Distribution des manuels scolaires</w:t>
            </w:r>
          </w:p>
        </w:tc>
      </w:tr>
      <w:tr>
        <w:tc>
          <w:tcPr>
            <w:tcW w:type="dxa" w:w="2600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B2A4A"/>
                <w:sz w:val="17"/>
                <w:szCs w:val="17"/>
              </w:rPr>
              <w:t xml:space="preserve">Lundi 28 sept. 2026</w:t>
            </w:r>
          </w:p>
        </w:tc>
        <w:tc>
          <w:tcPr>
            <w:tcW w:type="dxa" w:w="6300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color w:val="262626"/>
                <w:sz w:val="17"/>
                <w:szCs w:val="17"/>
              </w:rPr>
              <w:t xml:space="preserve">Début de l'emploi du temps définitif</w:t>
            </w:r>
          </w:p>
        </w:tc>
      </w:tr>
      <w:tr>
        <w:tc>
          <w:tcPr>
            <w:tcW w:type="dxa" w:w="2600"/>
            <w:shd w:fill="EAF1FA" w:color="auto" w:val="clear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B2A4A"/>
                <w:sz w:val="17"/>
                <w:szCs w:val="17"/>
              </w:rPr>
              <w:t xml:space="preserve">Vendredi 16 oct. 2026</w:t>
            </w:r>
          </w:p>
        </w:tc>
        <w:tc>
          <w:tcPr>
            <w:tcW w:type="dxa" w:w="6300"/>
            <w:shd w:fill="EAF1FA" w:color="auto" w:val="clear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color w:val="262626"/>
                <w:sz w:val="17"/>
                <w:szCs w:val="17"/>
              </w:rPr>
              <w:t xml:space="preserve">Date limite des demandes de bourse</w:t>
            </w:r>
          </w:p>
        </w:tc>
      </w:tr>
      <w:tr>
        <w:tc>
          <w:tcPr>
            <w:tcW w:type="dxa" w:w="2600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B2A4A"/>
                <w:sz w:val="17"/>
                <w:szCs w:val="17"/>
              </w:rPr>
              <w:t xml:space="preserve">Mardi 15 déc. 2026</w:t>
            </w:r>
          </w:p>
        </w:tc>
        <w:tc>
          <w:tcPr>
            <w:tcW w:type="dxa" w:w="6300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color w:val="262626"/>
                <w:sz w:val="17"/>
                <w:szCs w:val="17"/>
              </w:rPr>
              <w:t xml:space="preserve">Remise des bulletins du 1er trimestre</w:t>
            </w:r>
          </w:p>
        </w:tc>
      </w:tr>
      <w:tr>
        <w:tc>
          <w:tcPr>
            <w:tcW w:type="dxa" w:w="2600"/>
            <w:shd w:fill="EAF1FA" w:color="auto" w:val="clear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B2A4A"/>
                <w:sz w:val="17"/>
                <w:szCs w:val="17"/>
              </w:rPr>
              <w:t xml:space="preserve">18 au 25 janv. 2027</w:t>
            </w:r>
          </w:p>
        </w:tc>
        <w:tc>
          <w:tcPr>
            <w:tcW w:type="dxa" w:w="6300"/>
            <w:shd w:fill="EAF1FA" w:color="auto" w:val="clear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color w:val="262626"/>
                <w:sz w:val="17"/>
                <w:szCs w:val="17"/>
              </w:rPr>
              <w:t xml:space="preserve">Certification PIX</w:t>
            </w:r>
          </w:p>
        </w:tc>
      </w:tr>
      <w:tr>
        <w:tc>
          <w:tcPr>
            <w:tcW w:type="dxa" w:w="2600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B2A4A"/>
                <w:sz w:val="17"/>
                <w:szCs w:val="17"/>
              </w:rPr>
              <w:t xml:space="preserve">16 janvier 2027</w:t>
            </w:r>
          </w:p>
        </w:tc>
        <w:tc>
          <w:tcPr>
            <w:tcW w:type="dxa" w:w="6300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color w:val="262626"/>
                <w:sz w:val="17"/>
                <w:szCs w:val="17"/>
              </w:rPr>
              <w:t xml:space="preserve">Forum post-bac animé par d'anciens élèves</w:t>
            </w:r>
          </w:p>
        </w:tc>
      </w:tr>
      <w:tr>
        <w:tc>
          <w:tcPr>
            <w:tcW w:type="dxa" w:w="2600"/>
            <w:shd w:fill="EAF1FA" w:color="auto" w:val="clear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B2A4A"/>
                <w:sz w:val="17"/>
                <w:szCs w:val="17"/>
              </w:rPr>
              <w:t xml:space="preserve">23 nov. 2026 &amp; 20 avril 2027</w:t>
            </w:r>
          </w:p>
        </w:tc>
        <w:tc>
          <w:tcPr>
            <w:tcW w:type="dxa" w:w="6300"/>
            <w:shd w:fill="EAF1FA" w:color="auto" w:val="clear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color w:val="262626"/>
                <w:sz w:val="17"/>
                <w:szCs w:val="17"/>
              </w:rPr>
              <w:t xml:space="preserve">Bacs blancs de philosophie</w:t>
            </w:r>
          </w:p>
        </w:tc>
      </w:tr>
      <w:tr>
        <w:tc>
          <w:tcPr>
            <w:tcW w:type="dxa" w:w="2600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B2A4A"/>
                <w:sz w:val="17"/>
                <w:szCs w:val="17"/>
              </w:rPr>
              <w:t xml:space="preserve">Semaine du 1er février 2027</w:t>
            </w:r>
          </w:p>
        </w:tc>
        <w:tc>
          <w:tcPr>
            <w:tcW w:type="dxa" w:w="6300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color w:val="262626"/>
                <w:sz w:val="17"/>
                <w:szCs w:val="17"/>
              </w:rPr>
              <w:t xml:space="preserve">Bac blanc</w:t>
            </w:r>
          </w:p>
        </w:tc>
      </w:tr>
      <w:tr>
        <w:tc>
          <w:tcPr>
            <w:tcW w:type="dxa" w:w="2600"/>
            <w:shd w:fill="EAF1FA" w:color="auto" w:val="clear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B2A4A"/>
                <w:sz w:val="17"/>
                <w:szCs w:val="17"/>
              </w:rPr>
              <w:t xml:space="preserve">10 au 15 mai 2027</w:t>
            </w:r>
          </w:p>
        </w:tc>
        <w:tc>
          <w:tcPr>
            <w:tcW w:type="dxa" w:w="6300"/>
            <w:shd w:fill="EAF1FA" w:color="auto" w:val="clear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color w:val="262626"/>
                <w:sz w:val="17"/>
                <w:szCs w:val="17"/>
              </w:rPr>
              <w:t xml:space="preserve">Épreuves ponctuelles</w:t>
            </w:r>
          </w:p>
        </w:tc>
      </w:tr>
      <w:tr>
        <w:tc>
          <w:tcPr>
            <w:tcW w:type="dxa" w:w="2600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B2A4A"/>
                <w:sz w:val="17"/>
                <w:szCs w:val="17"/>
              </w:rPr>
              <w:t xml:space="preserve">Semaine du 1er juin 2027</w:t>
            </w:r>
          </w:p>
        </w:tc>
        <w:tc>
          <w:tcPr>
            <w:tcW w:type="dxa" w:w="6300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color w:val="262626"/>
                <w:sz w:val="17"/>
                <w:szCs w:val="17"/>
              </w:rPr>
              <w:t xml:space="preserve">ECE (épreuves de SVT et physique-chimie)</w:t>
            </w:r>
          </w:p>
        </w:tc>
      </w:tr>
      <w:tr>
        <w:tc>
          <w:tcPr>
            <w:tcW w:type="dxa" w:w="2600"/>
            <w:shd w:fill="EAF1FA" w:color="auto" w:val="clear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B2A4A"/>
                <w:sz w:val="17"/>
                <w:szCs w:val="17"/>
              </w:rPr>
              <w:t xml:space="preserve">14 juin 2027</w:t>
            </w:r>
          </w:p>
        </w:tc>
        <w:tc>
          <w:tcPr>
            <w:tcW w:type="dxa" w:w="6300"/>
            <w:shd w:fill="EAF1FA" w:color="auto" w:val="clear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color w:val="262626"/>
                <w:sz w:val="17"/>
                <w:szCs w:val="17"/>
              </w:rPr>
              <w:t xml:space="preserve">Épreuve écrite de philosophie</w:t>
            </w:r>
          </w:p>
        </w:tc>
      </w:tr>
      <w:tr>
        <w:tc>
          <w:tcPr>
            <w:tcW w:type="dxa" w:w="2600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B2A4A"/>
                <w:sz w:val="17"/>
                <w:szCs w:val="17"/>
              </w:rPr>
              <w:t xml:space="preserve">16, 17 et 18 juin 2027</w:t>
            </w:r>
          </w:p>
        </w:tc>
        <w:tc>
          <w:tcPr>
            <w:tcW w:type="dxa" w:w="6300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color w:val="262626"/>
                <w:sz w:val="17"/>
                <w:szCs w:val="17"/>
              </w:rPr>
              <w:t xml:space="preserve">Épreuves des deux enseignements de spécialité</w:t>
            </w:r>
          </w:p>
        </w:tc>
      </w:tr>
      <w:tr>
        <w:tc>
          <w:tcPr>
            <w:tcW w:type="dxa" w:w="2600"/>
            <w:shd w:fill="EAF1FA" w:color="auto" w:val="clear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B2A4A"/>
                <w:sz w:val="17"/>
                <w:szCs w:val="17"/>
              </w:rPr>
              <w:t xml:space="preserve">21 juin au 2 juillet 2027</w:t>
            </w:r>
          </w:p>
        </w:tc>
        <w:tc>
          <w:tcPr>
            <w:tcW w:type="dxa" w:w="6300"/>
            <w:shd w:fill="EAF1FA" w:color="auto" w:val="clear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color w:val="262626"/>
                <w:sz w:val="17"/>
                <w:szCs w:val="17"/>
              </w:rPr>
              <w:t xml:space="preserve">Épreuves du Grand Oral</w:t>
            </w:r>
          </w:p>
        </w:tc>
      </w:tr>
      <w:tr>
        <w:tc>
          <w:tcPr>
            <w:tcW w:type="dxa" w:w="2600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B2A4A"/>
                <w:sz w:val="17"/>
                <w:szCs w:val="17"/>
              </w:rPr>
              <w:t xml:space="preserve">6 juillet 2027</w:t>
            </w:r>
          </w:p>
        </w:tc>
        <w:tc>
          <w:tcPr>
            <w:tcW w:type="dxa" w:w="6300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color w:val="262626"/>
                <w:sz w:val="17"/>
                <w:szCs w:val="17"/>
              </w:rPr>
              <w:t xml:space="preserve">Résultats du 1er groupe</w:t>
            </w:r>
          </w:p>
        </w:tc>
      </w:tr>
      <w:tr>
        <w:tc>
          <w:tcPr>
            <w:tcW w:type="dxa" w:w="2600"/>
            <w:shd w:fill="EAF1FA" w:color="auto" w:val="clear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B2A4A"/>
                <w:sz w:val="17"/>
                <w:szCs w:val="17"/>
              </w:rPr>
              <w:t xml:space="preserve">7 et 9 juillet 2027</w:t>
            </w:r>
          </w:p>
        </w:tc>
        <w:tc>
          <w:tcPr>
            <w:tcW w:type="dxa" w:w="6300"/>
            <w:shd w:fill="EAF1FA" w:color="auto" w:val="clear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color w:val="262626"/>
                <w:sz w:val="17"/>
                <w:szCs w:val="17"/>
              </w:rPr>
              <w:t xml:space="preserve">Oraux de rattrapage (2nd groupe)</w:t>
            </w:r>
          </w:p>
        </w:tc>
      </w:tr>
    </w:tbl>
    <w:p>
      <w:pPr>
        <w:spacing w:after="0" w:before="90"/>
      </w:pPr>
      <w:r>
        <w:rPr>
          <w:rFonts w:ascii="Calibri" w:cs="Calibri" w:eastAsia="Calibri" w:hAnsi="Calibri"/>
          <w:b/>
          <w:bCs/>
          <w:color w:val="1B2A4A"/>
          <w:sz w:val="17"/>
          <w:szCs w:val="17"/>
        </w:rPr>
        <w:t xml:space="preserve">Conseils de classe — </w:t>
      </w:r>
      <w:r>
        <w:rPr>
          <w:rFonts w:ascii="Calibri" w:cs="Calibri" w:eastAsia="Calibri" w:hAnsi="Calibri"/>
          <w:color w:val="595959"/>
          <w:sz w:val="17"/>
          <w:szCs w:val="17"/>
        </w:rPr>
        <w:t xml:space="preserve">1er trimestre : 1er sept. – 21 nov. 2026  ·  2e trimestre : 21 nov. 2026 – 27 fév. 2027  ·  3e trimestre : 27 fév. – 20 mai 2027</w:t>
      </w:r>
    </w:p>
    <w:p>
      <w:pPr>
        <w:pBdr>
          <w:bottom w:val="single" w:color="2E5C99" w:sz="4" w:space="4"/>
        </w:pBdr>
        <w:spacing w:after="70" w:before="160"/>
      </w:pPr>
      <w:r>
        <w:rPr>
          <w:rFonts w:ascii="Calibri" w:cs="Calibri" w:eastAsia="Calibri" w:hAnsi="Calibri"/>
          <w:b/>
          <w:bCs/>
          <w:color w:val="1B2A4A"/>
          <w:spacing w:val="6"/>
          <w:sz w:val="21"/>
          <w:szCs w:val="21"/>
        </w:rPr>
        <w:t xml:space="preserve">COEFFICIENTS AU BACCALAURÉAT GÉNÉRAL</w:t>
      </w:r>
    </w:p>
    <w:tbl>
      <w:tblPr>
        <w:tblW w:type="dxa" w:w="8900"/>
        <w:tblBorders>
          <w:top w:val="single" w:color="1B2A4A" w:sz="4"/>
          <w:left w:val="none"/>
          <w:bottom w:val="single" w:color="1B2A4A" w:sz="4"/>
          <w:right w:val="none"/>
          <w:insideH w:val="single" w:color="D9D9D9" w:sz="2"/>
          <w:insideV w:val="none"/>
        </w:tblBorders>
      </w:tblPr>
      <w:tblGrid>
        <w:gridCol w:w="3800"/>
        <w:gridCol w:w="3800"/>
        <w:gridCol w:w="1300"/>
      </w:tblGrid>
      <w:tr>
        <w:trPr>
          <w:tblHeader/>
        </w:trPr>
        <w:tc>
          <w:tcPr>
            <w:tcW w:type="dxa" w:w="3800"/>
            <w:shd w:fill="1B2A4A" w:color="auto" w:val="clear"/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Épreuve</w:t>
            </w:r>
          </w:p>
        </w:tc>
        <w:tc>
          <w:tcPr>
            <w:tcW w:type="dxa" w:w="3800"/>
            <w:shd w:fill="1B2A4A" w:color="auto" w:val="clear"/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Modalité</w:t>
            </w:r>
          </w:p>
        </w:tc>
        <w:tc>
          <w:tcPr>
            <w:tcW w:type="dxa" w:w="1300"/>
            <w:shd w:fill="1B2A4A" w:color="auto" w:val="clear"/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Coef.</w:t>
            </w:r>
          </w:p>
        </w:tc>
      </w:tr>
      <w:tr>
        <w:tc>
          <w:tcPr>
            <w:tcW w:type="dxa" w:w="3800"/>
            <w:shd w:fill="FBF3E4" w:color="auto" w:val="clear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B2A4A"/>
                <w:sz w:val="17"/>
                <w:szCs w:val="17"/>
              </w:rPr>
              <w:t xml:space="preserve">Français (écrit et oral)</w:t>
            </w:r>
          </w:p>
        </w:tc>
        <w:tc>
          <w:tcPr>
            <w:tcW w:type="dxa" w:w="3800"/>
            <w:shd w:fill="FBF3E4" w:color="auto" w:val="clear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7"/>
                <w:szCs w:val="17"/>
              </w:rPr>
              <w:t xml:space="preserve">Épreuve terminale — 1ère</w:t>
            </w:r>
          </w:p>
        </w:tc>
        <w:tc>
          <w:tcPr>
            <w:tcW w:type="dxa" w:w="1300"/>
            <w:shd w:fill="FBF3E4" w:color="auto" w:val="clear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B8892B"/>
                <w:sz w:val="17"/>
                <w:szCs w:val="17"/>
              </w:rPr>
              <w:t xml:space="preserve">10</w:t>
            </w:r>
          </w:p>
        </w:tc>
      </w:tr>
      <w:tr>
        <w:tc>
          <w:tcPr>
            <w:tcW w:type="dxa" w:w="3800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B2A4A"/>
                <w:sz w:val="17"/>
                <w:szCs w:val="17"/>
              </w:rPr>
              <w:t xml:space="preserve">Philosophie</w:t>
            </w:r>
          </w:p>
        </w:tc>
        <w:tc>
          <w:tcPr>
            <w:tcW w:type="dxa" w:w="3800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7"/>
                <w:szCs w:val="17"/>
              </w:rPr>
              <w:t xml:space="preserve">Épreuve terminale — juin 2027</w:t>
            </w:r>
          </w:p>
        </w:tc>
        <w:tc>
          <w:tcPr>
            <w:tcW w:type="dxa" w:w="1300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B8892B"/>
                <w:sz w:val="17"/>
                <w:szCs w:val="17"/>
              </w:rPr>
              <w:t xml:space="preserve">8</w:t>
            </w:r>
          </w:p>
        </w:tc>
      </w:tr>
      <w:tr>
        <w:tc>
          <w:tcPr>
            <w:tcW w:type="dxa" w:w="3800"/>
            <w:shd w:fill="FBF3E4" w:color="auto" w:val="clear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B2A4A"/>
                <w:sz w:val="17"/>
                <w:szCs w:val="17"/>
              </w:rPr>
              <w:t xml:space="preserve">Enseignement de spécialité 1</w:t>
            </w:r>
          </w:p>
        </w:tc>
        <w:tc>
          <w:tcPr>
            <w:tcW w:type="dxa" w:w="3800"/>
            <w:shd w:fill="FBF3E4" w:color="auto" w:val="clear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7"/>
                <w:szCs w:val="17"/>
              </w:rPr>
              <w:t xml:space="preserve">Épreuve terminale — juin 2027</w:t>
            </w:r>
          </w:p>
        </w:tc>
        <w:tc>
          <w:tcPr>
            <w:tcW w:type="dxa" w:w="1300"/>
            <w:shd w:fill="FBF3E4" w:color="auto" w:val="clear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B8892B"/>
                <w:sz w:val="17"/>
                <w:szCs w:val="17"/>
              </w:rPr>
              <w:t xml:space="preserve">16</w:t>
            </w:r>
          </w:p>
        </w:tc>
      </w:tr>
      <w:tr>
        <w:tc>
          <w:tcPr>
            <w:tcW w:type="dxa" w:w="3800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B2A4A"/>
                <w:sz w:val="17"/>
                <w:szCs w:val="17"/>
              </w:rPr>
              <w:t xml:space="preserve">Enseignement de spécialité 2</w:t>
            </w:r>
          </w:p>
        </w:tc>
        <w:tc>
          <w:tcPr>
            <w:tcW w:type="dxa" w:w="3800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7"/>
                <w:szCs w:val="17"/>
              </w:rPr>
              <w:t xml:space="preserve">Épreuve terminale — juin 2027</w:t>
            </w:r>
          </w:p>
        </w:tc>
        <w:tc>
          <w:tcPr>
            <w:tcW w:type="dxa" w:w="1300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B8892B"/>
                <w:sz w:val="17"/>
                <w:szCs w:val="17"/>
              </w:rPr>
              <w:t xml:space="preserve">16</w:t>
            </w:r>
          </w:p>
        </w:tc>
      </w:tr>
      <w:tr>
        <w:tc>
          <w:tcPr>
            <w:tcW w:type="dxa" w:w="3800"/>
            <w:shd w:fill="FBF3E4" w:color="auto" w:val="clear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B2A4A"/>
                <w:sz w:val="17"/>
                <w:szCs w:val="17"/>
              </w:rPr>
              <w:t xml:space="preserve">Grand Oral</w:t>
            </w:r>
          </w:p>
        </w:tc>
        <w:tc>
          <w:tcPr>
            <w:tcW w:type="dxa" w:w="3800"/>
            <w:shd w:fill="FBF3E4" w:color="auto" w:val="clear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7"/>
                <w:szCs w:val="17"/>
              </w:rPr>
              <w:t xml:space="preserve">Épreuve terminale — juin/juillet 2027</w:t>
            </w:r>
          </w:p>
        </w:tc>
        <w:tc>
          <w:tcPr>
            <w:tcW w:type="dxa" w:w="1300"/>
            <w:shd w:fill="FBF3E4" w:color="auto" w:val="clear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B8892B"/>
                <w:sz w:val="17"/>
                <w:szCs w:val="17"/>
              </w:rPr>
              <w:t xml:space="preserve">10</w:t>
            </w:r>
          </w:p>
        </w:tc>
      </w:tr>
      <w:tr>
        <w:tc>
          <w:tcPr>
            <w:tcW w:type="dxa" w:w="3800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B2A4A"/>
                <w:sz w:val="17"/>
                <w:szCs w:val="17"/>
              </w:rPr>
              <w:t xml:space="preserve">Contrôle continu</w:t>
            </w:r>
          </w:p>
        </w:tc>
        <w:tc>
          <w:tcPr>
            <w:tcW w:type="dxa" w:w="3800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7"/>
                <w:szCs w:val="17"/>
              </w:rPr>
              <w:t xml:space="preserve">Moyennes annuelles de 1ère et terminale : histoire-géo, LVA, LVB, enseignement scientifique, EMC, EPS, spécialité abandonnée en 1ère</w:t>
            </w:r>
          </w:p>
        </w:tc>
        <w:tc>
          <w:tcPr>
            <w:tcW w:type="dxa" w:w="1300"/>
            <w:tcMar>
              <w:top w:type="dxa" w:w="30"/>
              <w:left w:type="dxa" w:w="10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B8892B"/>
                <w:sz w:val="17"/>
                <w:szCs w:val="17"/>
              </w:rPr>
              <w:t xml:space="preserve">40</w:t>
            </w:r>
          </w:p>
        </w:tc>
      </w:tr>
    </w:tbl>
    <w:p>
      <w:pPr>
        <w:spacing w:after="0" w:before="90"/>
      </w:pPr>
      <w:r>
        <w:rPr>
          <w:rFonts w:ascii="Calibri" w:cs="Calibri" w:eastAsia="Calibri" w:hAnsi="Calibri"/>
          <w:b/>
          <w:bCs/>
          <w:color w:val="1B2A4A"/>
          <w:sz w:val="17"/>
          <w:szCs w:val="17"/>
        </w:rPr>
        <w:t xml:space="preserve">Répartition globale : </w:t>
      </w:r>
      <w:r>
        <w:rPr>
          <w:rFonts w:ascii="Calibri" w:cs="Calibri" w:eastAsia="Calibri" w:hAnsi="Calibri"/>
          <w:color w:val="595959"/>
          <w:sz w:val="17"/>
          <w:szCs w:val="17"/>
        </w:rPr>
        <w:t xml:space="preserve">60 % épreuves terminales (fin de terminale, hors français déjà acquis en 1ère) — 40 % contrôle continu.</w:t>
      </w:r>
    </w:p>
    <w:p>
      <w:pPr>
        <w:pBdr>
          <w:bottom w:val="single" w:color="2E5C99" w:sz="4" w:space="4"/>
        </w:pBdr>
        <w:spacing w:after="70" w:before="160"/>
      </w:pPr>
      <w:r>
        <w:rPr>
          <w:rFonts w:ascii="Calibri" w:cs="Calibri" w:eastAsia="Calibri" w:hAnsi="Calibri"/>
          <w:b/>
          <w:bCs/>
          <w:color w:val="1B2A4A"/>
          <w:spacing w:val="6"/>
          <w:sz w:val="21"/>
          <w:szCs w:val="21"/>
        </w:rPr>
        <w:t xml:space="preserve">RESSOURCES POUR L'ORIENTATION</w:t>
      </w:r>
    </w:p>
    <w:p>
      <w:pPr>
        <w:spacing w:after="30"/>
        <w:ind w:left="260" w:hanging="180"/>
      </w:pPr>
      <w:r>
        <w:rPr>
          <w:rFonts w:ascii="Calibri" w:cs="Calibri" w:eastAsia="Calibri" w:hAnsi="Calibri"/>
          <w:b/>
          <w:bCs/>
          <w:color w:val="2E5C99"/>
          <w:sz w:val="18"/>
          <w:szCs w:val="18"/>
        </w:rPr>
        <w:t xml:space="preserve">–  </w:t>
      </w:r>
      <w:r>
        <w:rPr>
          <w:rFonts w:ascii="Calibri" w:cs="Calibri" w:eastAsia="Calibri" w:hAnsi="Calibri"/>
          <w:b/>
          <w:bCs/>
          <w:color w:val="1B2A4A"/>
          <w:sz w:val="18"/>
          <w:szCs w:val="18"/>
        </w:rPr>
        <w:t xml:space="preserve">Parcoursup : </w:t>
      </w:r>
      <w:hyperlink w:history="1" r:id="rIdtfr-w4w7cjtujqkifdoki">
        <w:r>
          <w:rPr>
            <w:rFonts w:ascii="Calibri" w:cs="Calibri" w:eastAsia="Calibri" w:hAnsi="Calibri"/>
            <w:color w:val="2E5C99"/>
            <w:sz w:val="18"/>
            <w:szCs w:val="18"/>
            <w:u w:val="single"/>
          </w:rPr>
          <w:t xml:space="preserve">dossier.parcoursup.fr/Candidat/carte</w:t>
        </w:r>
      </w:hyperlink>
      <w:r>
        <w:rPr>
          <w:rFonts w:ascii="Calibri" w:cs="Calibri" w:eastAsia="Calibri" w:hAnsi="Calibri"/>
          <w:color w:val="262626"/>
          <w:sz w:val="18"/>
          <w:szCs w:val="18"/>
        </w:rPr>
        <w:t xml:space="preserve"> — plateforme nationale de préinscription dans l'enseignement supérieur.</w:t>
      </w:r>
    </w:p>
    <w:p>
      <w:pPr>
        <w:spacing w:after="30"/>
        <w:ind w:left="260" w:hanging="180"/>
      </w:pPr>
      <w:r>
        <w:rPr>
          <w:rFonts w:ascii="Calibri" w:cs="Calibri" w:eastAsia="Calibri" w:hAnsi="Calibri"/>
          <w:b/>
          <w:bCs/>
          <w:color w:val="2E5C99"/>
          <w:sz w:val="18"/>
          <w:szCs w:val="18"/>
        </w:rPr>
        <w:t xml:space="preserve">–  </w:t>
      </w:r>
      <w:r>
        <w:rPr>
          <w:rFonts w:ascii="Calibri" w:cs="Calibri" w:eastAsia="Calibri" w:hAnsi="Calibri"/>
          <w:b/>
          <w:bCs/>
          <w:color w:val="1B2A4A"/>
          <w:sz w:val="18"/>
          <w:szCs w:val="18"/>
        </w:rPr>
        <w:t xml:space="preserve">Onisep AVENIR(s) : </w:t>
      </w:r>
      <w:hyperlink w:history="1" r:id="rIduvqpnm0ryglrvmyh7mhfz">
        <w:r>
          <w:rPr>
            <w:rFonts w:ascii="Calibri" w:cs="Calibri" w:eastAsia="Calibri" w:hAnsi="Calibri"/>
            <w:color w:val="2E5C99"/>
            <w:sz w:val="18"/>
            <w:szCs w:val="18"/>
            <w:u w:val="single"/>
          </w:rPr>
          <w:t xml:space="preserve">avenirs.onisep.fr</w:t>
        </w:r>
      </w:hyperlink>
      <w:r>
        <w:rPr>
          <w:rFonts w:ascii="Calibri" w:cs="Calibri" w:eastAsia="Calibri" w:hAnsi="Calibri"/>
          <w:color w:val="262626"/>
          <w:sz w:val="18"/>
          <w:szCs w:val="18"/>
        </w:rPr>
        <w:t xml:space="preserve">, module lycée : </w:t>
      </w:r>
      <w:hyperlink w:history="1" r:id="rIdwqtfmanwuhpef8lxuwcjk">
        <w:r>
          <w:rPr>
            <w:rFonts w:ascii="Calibri" w:cs="Calibri" w:eastAsia="Calibri" w:hAnsi="Calibri"/>
            <w:color w:val="2E5C99"/>
            <w:sz w:val="18"/>
            <w:szCs w:val="18"/>
            <w:u w:val="single"/>
          </w:rPr>
          <w:t xml:space="preserve">lycee-avenirs.onisep.fr</w:t>
        </w:r>
      </w:hyperlink>
      <w:r>
        <w:rPr>
          <w:rFonts w:ascii="Calibri" w:cs="Calibri" w:eastAsia="Calibri" w:hAnsi="Calibri"/>
          <w:color w:val="262626"/>
          <w:sz w:val="18"/>
          <w:szCs w:val="18"/>
        </w:rPr>
        <w:t xml:space="preserve"> — ressources et accompagnement vers le supérieur.</w:t>
      </w:r>
    </w:p>
    <w:p>
      <w:pPr>
        <w:spacing w:after="30"/>
        <w:ind w:left="260" w:hanging="180"/>
      </w:pPr>
      <w:r>
        <w:rPr>
          <w:rFonts w:ascii="Calibri" w:cs="Calibri" w:eastAsia="Calibri" w:hAnsi="Calibri"/>
          <w:b/>
          <w:bCs/>
          <w:color w:val="2E5C99"/>
          <w:sz w:val="18"/>
          <w:szCs w:val="18"/>
        </w:rPr>
        <w:t xml:space="preserve">–  </w:t>
      </w:r>
      <w:r>
        <w:rPr>
          <w:rFonts w:ascii="Calibri" w:cs="Calibri" w:eastAsia="Calibri" w:hAnsi="Calibri"/>
          <w:b/>
          <w:bCs/>
          <w:color w:val="1B2A4A"/>
          <w:sz w:val="18"/>
          <w:szCs w:val="18"/>
        </w:rPr>
        <w:t xml:space="preserve">Numéro vert Parcoursup : </w:t>
      </w:r>
      <w:r>
        <w:rPr>
          <w:rFonts w:ascii="Calibri" w:cs="Calibri" w:eastAsia="Calibri" w:hAnsi="Calibri"/>
          <w:color w:val="262626"/>
          <w:sz w:val="18"/>
          <w:szCs w:val="18"/>
        </w:rPr>
        <w:t xml:space="preserve">0 800 400 070 (appel et service gratuits).</w:t>
      </w:r>
    </w:p>
    <w:p>
      <w:pPr>
        <w:spacing w:after="30"/>
        <w:ind w:left="260" w:hanging="180"/>
      </w:pPr>
      <w:r>
        <w:rPr>
          <w:rFonts w:ascii="Calibri" w:cs="Calibri" w:eastAsia="Calibri" w:hAnsi="Calibri"/>
          <w:b/>
          <w:bCs/>
          <w:color w:val="2E5C99"/>
          <w:sz w:val="18"/>
          <w:szCs w:val="18"/>
        </w:rPr>
        <w:t xml:space="preserve">–  </w:t>
      </w:r>
      <w:r>
        <w:rPr>
          <w:rFonts w:ascii="Calibri" w:cs="Calibri" w:eastAsia="Calibri" w:hAnsi="Calibri"/>
          <w:b/>
          <w:bCs/>
          <w:color w:val="1B2A4A"/>
          <w:sz w:val="18"/>
          <w:szCs w:val="18"/>
        </w:rPr>
        <w:t xml:space="preserve">Mon orientation en ligne : </w:t>
      </w:r>
      <w:hyperlink w:history="1" r:id="rIdowni4hnitfzvzw94fxfwg">
        <w:r>
          <w:rPr>
            <w:rFonts w:ascii="Calibri" w:cs="Calibri" w:eastAsia="Calibri" w:hAnsi="Calibri"/>
            <w:color w:val="2E5C99"/>
            <w:sz w:val="18"/>
            <w:szCs w:val="18"/>
            <w:u w:val="single"/>
          </w:rPr>
          <w:t xml:space="preserve">monorientationenligne.fr</w:t>
        </w:r>
      </w:hyperlink>
      <w:r>
        <w:rPr>
          <w:rFonts w:ascii="Calibri" w:cs="Calibri" w:eastAsia="Calibri" w:hAnsi="Calibri"/>
          <w:color w:val="262626"/>
          <w:sz w:val="18"/>
          <w:szCs w:val="18"/>
        </w:rPr>
        <w:t xml:space="preserve"> — questions sur les métiers, études et l'orientation.</w:t>
      </w:r>
    </w:p>
    <w:p>
      <w:pPr>
        <w:spacing w:after="30"/>
        <w:ind w:left="260" w:hanging="180"/>
      </w:pPr>
      <w:r>
        <w:rPr>
          <w:rFonts w:ascii="Calibri" w:cs="Calibri" w:eastAsia="Calibri" w:hAnsi="Calibri"/>
          <w:b/>
          <w:bCs/>
          <w:color w:val="2E5C99"/>
          <w:sz w:val="18"/>
          <w:szCs w:val="18"/>
        </w:rPr>
        <w:t xml:space="preserve">–  </w:t>
      </w:r>
      <w:r>
        <w:rPr>
          <w:rFonts w:ascii="Calibri" w:cs="Calibri" w:eastAsia="Calibri" w:hAnsi="Calibri"/>
          <w:b/>
          <w:bCs/>
          <w:color w:val="1B2A4A"/>
          <w:sz w:val="18"/>
          <w:szCs w:val="18"/>
        </w:rPr>
        <w:t xml:space="preserve">Eduscol et Étincel (Canopé) : </w:t>
      </w:r>
      <w:r>
        <w:rPr>
          <w:rFonts w:ascii="Calibri" w:cs="Calibri" w:eastAsia="Calibri" w:hAnsi="Calibri"/>
          <w:color w:val="262626"/>
          <w:sz w:val="18"/>
          <w:szCs w:val="18"/>
        </w:rPr>
        <w:t xml:space="preserve">ressources pédagogiques pour l'accompagnement à l'orientation.</w:t>
      </w:r>
    </w:p>
    <w:p>
      <w:pPr>
        <w:spacing w:after="30"/>
        <w:ind w:left="260" w:hanging="180"/>
      </w:pPr>
      <w:r>
        <w:rPr>
          <w:rFonts w:ascii="Calibri" w:cs="Calibri" w:eastAsia="Calibri" w:hAnsi="Calibri"/>
          <w:b/>
          <w:bCs/>
          <w:color w:val="2E5C99"/>
          <w:sz w:val="18"/>
          <w:szCs w:val="18"/>
        </w:rPr>
        <w:t xml:space="preserve">–  </w:t>
      </w:r>
      <w:r>
        <w:rPr>
          <w:rFonts w:ascii="Calibri" w:cs="Calibri" w:eastAsia="Calibri" w:hAnsi="Calibri"/>
          <w:b/>
          <w:bCs/>
          <w:color w:val="1B2A4A"/>
          <w:sz w:val="18"/>
          <w:szCs w:val="18"/>
        </w:rPr>
        <w:t xml:space="preserve">PsyEN — M. Thomas Oger : </w:t>
      </w:r>
      <w:r>
        <w:rPr>
          <w:rFonts w:ascii="Calibri" w:cs="Calibri" w:eastAsia="Calibri" w:hAnsi="Calibri"/>
          <w:color w:val="262626"/>
          <w:sz w:val="18"/>
          <w:szCs w:val="18"/>
        </w:rPr>
        <w:t xml:space="preserve">permanences au lycée le lundi après-midi (13h30-17h), le mardi (9h-17h) et le mercredi matin.</w:t>
      </w:r>
    </w:p>
    <w:p>
      <w:pPr>
        <w:spacing w:after="30"/>
        <w:ind w:left="260" w:hanging="180"/>
      </w:pPr>
      <w:r>
        <w:rPr>
          <w:rFonts w:ascii="Calibri" w:cs="Calibri" w:eastAsia="Calibri" w:hAnsi="Calibri"/>
          <w:b/>
          <w:bCs/>
          <w:color w:val="2E5C99"/>
          <w:sz w:val="18"/>
          <w:szCs w:val="18"/>
        </w:rPr>
        <w:t xml:space="preserve">–  </w:t>
      </w:r>
      <w:r>
        <w:rPr>
          <w:rFonts w:ascii="Calibri" w:cs="Calibri" w:eastAsia="Calibri" w:hAnsi="Calibri"/>
          <w:b/>
          <w:bCs/>
          <w:color w:val="1B2A4A"/>
          <w:sz w:val="18"/>
          <w:szCs w:val="18"/>
        </w:rPr>
        <w:t xml:space="preserve">Espace de la classe (Netboard) : </w:t>
      </w:r>
      <w:hyperlink w:history="1" r:id="rIdpkylbaflip0m-7wq6hq6y">
        <w:r>
          <w:rPr>
            <w:rFonts w:ascii="Calibri" w:cs="Calibri" w:eastAsia="Calibri" w:hAnsi="Calibri"/>
            <w:color w:val="2E5C99"/>
            <w:sz w:val="18"/>
            <w:szCs w:val="18"/>
            <w:u w:val="single"/>
          </w:rPr>
          <w:t xml:space="preserve">sboutinpuech.netboard.me/monannnedetermi</w:t>
        </w:r>
      </w:hyperlink>
      <w:r>
        <w:rPr>
          <w:rFonts w:ascii="Calibri" w:cs="Calibri" w:eastAsia="Calibri" w:hAnsi="Calibri"/>
          <w:color w:val="262626"/>
          <w:sz w:val="18"/>
          <w:szCs w:val="18"/>
        </w:rPr>
        <w:t xml:space="preserve"> — ressources partagées par les professeurs principaux.</w:t>
      </w:r>
    </w:p>
    <w:sectPr>
      <w:pgSz w:w="11906" w:h="16838" w:orient="portrait"/>
      <w:pgMar w:top="560" w:right="900" w:bottom="56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fr-w4w7cjtujqkifdoki" Type="http://schemas.openxmlformats.org/officeDocument/2006/relationships/hyperlink" Target="https://dossier.parcoursup.fr/Candidat/carte" TargetMode="External"/><Relationship Id="rIduvqpnm0ryglrvmyh7mhfz" Type="http://schemas.openxmlformats.org/officeDocument/2006/relationships/hyperlink" Target="https://avenirs.onisep.fr/" TargetMode="External"/><Relationship Id="rIdwqtfmanwuhpef8lxuwcjk" Type="http://schemas.openxmlformats.org/officeDocument/2006/relationships/hyperlink" Target="https://lycee-avenirs.onisep.fr/" TargetMode="External"/><Relationship Id="rIdowni4hnitfzvzw94fxfwg" Type="http://schemas.openxmlformats.org/officeDocument/2006/relationships/hyperlink" Target="https://monorientationenligne.fr/qr/index.php" TargetMode="External"/><Relationship Id="rIdpkylbaflip0m-7wq6hq6y" Type="http://schemas.openxmlformats.org/officeDocument/2006/relationships/hyperlink" Target="https://sboutinpuech.netboard.me/monannnedetermi/#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2026-09-18T13:23:49.436Z</dcterms:created>
  <dcterms:modified xsi:type="dcterms:W3CDTF">2026-09-18T13:23:49.444Z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