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C6D72" w:rsidRPr="00AC6D72" w14:paraId="026CB8C5" w14:textId="77777777" w:rsidTr="00021E98">
        <w:tc>
          <w:tcPr>
            <w:tcW w:w="5000" w:type="pct"/>
            <w:tcBorders>
              <w:top w:val="none" w:sz="0" w:space="0" w:color="FFFFFF"/>
              <w:left w:val="none" w:sz="0" w:space="0" w:color="FFFFFF"/>
              <w:bottom w:val="none" w:sz="0" w:space="0" w:color="FFFFFF"/>
              <w:right w:val="none" w:sz="0" w:space="0" w:color="FFFFFF"/>
            </w:tcBorders>
            <w:shd w:val="clear" w:color="auto" w:fill="1F3864"/>
            <w:tcMar>
              <w:top w:w="160" w:type="dxa"/>
              <w:left w:w="200" w:type="dxa"/>
              <w:bottom w:w="160" w:type="dxa"/>
              <w:right w:w="200" w:type="dxa"/>
            </w:tcMar>
          </w:tcPr>
          <w:p w14:paraId="2C3D3D2A" w14:textId="77777777" w:rsidR="00AC6D72" w:rsidRPr="00AC6D72" w:rsidRDefault="00AC6D72" w:rsidP="00021E98">
            <w:pPr>
              <w:spacing w:after="60"/>
              <w:rPr>
                <w:rFonts w:ascii="Arial" w:hAnsi="Arial" w:cs="Arial"/>
                <w:sz w:val="24"/>
                <w:szCs w:val="24"/>
              </w:rPr>
            </w:pPr>
            <w:r w:rsidRPr="00AC6D72">
              <w:rPr>
                <w:rFonts w:ascii="Arial" w:hAnsi="Arial" w:cs="Arial"/>
                <w:b/>
                <w:bCs/>
                <w:color w:val="BFD3EE"/>
                <w:sz w:val="24"/>
                <w:szCs w:val="24"/>
              </w:rPr>
              <w:t>Thème 2 — Évolution humaine · Chapitre 1 · Activité 6</w:t>
            </w:r>
          </w:p>
          <w:p w14:paraId="44604661" w14:textId="77777777" w:rsidR="00AC6D72" w:rsidRPr="00AC6D72" w:rsidRDefault="00AC6D72" w:rsidP="00021E98">
            <w:pPr>
              <w:spacing w:after="60"/>
              <w:rPr>
                <w:rFonts w:ascii="Arial" w:hAnsi="Arial" w:cs="Arial"/>
                <w:sz w:val="24"/>
                <w:szCs w:val="24"/>
              </w:rPr>
            </w:pPr>
            <w:r w:rsidRPr="00AC6D72">
              <w:rPr>
                <w:rFonts w:ascii="Arial" w:hAnsi="Arial" w:cs="Arial"/>
                <w:b/>
                <w:bCs/>
                <w:color w:val="FFFFFF"/>
                <w:sz w:val="24"/>
                <w:szCs w:val="24"/>
              </w:rPr>
              <w:t>Les apports récents des données génétiques</w:t>
            </w:r>
          </w:p>
          <w:p w14:paraId="3C78D413" w14:textId="77777777" w:rsidR="00AC6D72" w:rsidRPr="00AC6D72" w:rsidRDefault="00AC6D72" w:rsidP="00021E98">
            <w:pPr>
              <w:rPr>
                <w:rFonts w:ascii="Arial" w:hAnsi="Arial" w:cs="Arial"/>
                <w:sz w:val="24"/>
                <w:szCs w:val="24"/>
              </w:rPr>
            </w:pPr>
            <w:r w:rsidRPr="00AC6D72">
              <w:rPr>
                <w:rFonts w:ascii="Arial" w:hAnsi="Arial" w:cs="Arial"/>
                <w:i/>
                <w:iCs/>
                <w:color w:val="BFD3EE"/>
                <w:sz w:val="24"/>
                <w:szCs w:val="24"/>
              </w:rPr>
              <w:t>Durée indicative : 45 min · Étude documentaire</w:t>
            </w:r>
          </w:p>
        </w:tc>
      </w:tr>
    </w:tbl>
    <w:p w14:paraId="1FF90535"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Contexte</w:t>
      </w:r>
    </w:p>
    <w:p w14:paraId="2F49791B" w14:textId="77777777" w:rsidR="00AC6D72" w:rsidRDefault="00AC6D72" w:rsidP="00AC6D72">
      <w:pPr>
        <w:spacing w:after="120"/>
        <w:rPr>
          <w:rFonts w:ascii="Arial" w:hAnsi="Arial" w:cs="Arial"/>
          <w:sz w:val="24"/>
          <w:szCs w:val="24"/>
        </w:rPr>
      </w:pPr>
      <w:r w:rsidRPr="00AC6D72">
        <w:rPr>
          <w:rFonts w:ascii="Arial" w:hAnsi="Arial" w:cs="Arial"/>
          <w:sz w:val="24"/>
          <w:szCs w:val="24"/>
        </w:rPr>
        <w:t>Grâce aux progrès continus dans les techniques de séquençage d'ADN, le génome des humains actuels a pu être séquencé entièrement en 2004, puis celui des néandertaliens à partir d'échantillons issus d'une dizaine de fossiles. L'étude comparative de ces génomes très proches a permis de découvrir que les humains modernes partagent une part variable de leur génome avec les néandertaliens selon leur origine géographique, même s'ils sont, malgré tout, de la même espèce.</w:t>
      </w:r>
    </w:p>
    <w:p w14:paraId="0BC07362" w14:textId="53C36BD2" w:rsidR="00616DA1" w:rsidRPr="00AC6D72" w:rsidRDefault="00616DA1" w:rsidP="00AC6D72">
      <w:pPr>
        <w:spacing w:after="120"/>
        <w:rPr>
          <w:rFonts w:ascii="Arial" w:hAnsi="Arial" w:cs="Arial"/>
          <w:sz w:val="24"/>
          <w:szCs w:val="24"/>
        </w:rPr>
      </w:pPr>
      <w:r w:rsidRPr="00616DA1">
        <w:rPr>
          <w:rFonts w:ascii="Arial" w:hAnsi="Arial" w:cs="Arial"/>
          <w:sz w:val="24"/>
          <w:szCs w:val="24"/>
        </w:rPr>
        <w:drawing>
          <wp:inline distT="0" distB="0" distL="0" distR="0" wp14:anchorId="0B0C297D" wp14:editId="56819426">
            <wp:extent cx="3525049" cy="3378200"/>
            <wp:effectExtent l="0" t="0" r="0" b="0"/>
            <wp:docPr id="3661102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10265" name=""/>
                    <pic:cNvPicPr/>
                  </pic:nvPicPr>
                  <pic:blipFill>
                    <a:blip r:embed="rId5"/>
                    <a:stretch>
                      <a:fillRect/>
                    </a:stretch>
                  </pic:blipFill>
                  <pic:spPr>
                    <a:xfrm>
                      <a:off x="0" y="0"/>
                      <a:ext cx="3541901" cy="3394350"/>
                    </a:xfrm>
                    <a:prstGeom prst="rect">
                      <a:avLst/>
                    </a:prstGeom>
                  </pic:spPr>
                </pic:pic>
              </a:graphicData>
            </a:graphic>
          </wp:inline>
        </w:drawing>
      </w:r>
    </w:p>
    <w:p w14:paraId="30B7C9CA"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Problématique</w:t>
      </w:r>
    </w:p>
    <w:p w14:paraId="15C52114" w14:textId="77777777" w:rsidR="00AC6D72" w:rsidRPr="00AC6D72" w:rsidRDefault="00AC6D72" w:rsidP="00AC6D72">
      <w:pPr>
        <w:spacing w:after="120"/>
        <w:rPr>
          <w:rFonts w:ascii="Arial" w:hAnsi="Arial" w:cs="Arial"/>
          <w:sz w:val="24"/>
          <w:szCs w:val="24"/>
        </w:rPr>
      </w:pPr>
      <w:r w:rsidRPr="00AC6D72">
        <w:rPr>
          <w:rFonts w:ascii="Arial" w:hAnsi="Arial" w:cs="Arial"/>
          <w:b/>
          <w:bCs/>
          <w:sz w:val="24"/>
          <w:szCs w:val="24"/>
        </w:rPr>
        <w:t>Quels sont les apports de la génétique moléculaire à la connaissance de l'histoire évolutive récente de la lignée humaine ?</w:t>
      </w:r>
    </w:p>
    <w:p w14:paraId="4692B5CF"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Documents supports</w:t>
      </w:r>
    </w:p>
    <w:p w14:paraId="0555B339" w14:textId="77777777" w:rsidR="00AC6D72" w:rsidRPr="00AC6D72" w:rsidRDefault="00AC6D72" w:rsidP="00AC6D72">
      <w:pPr>
        <w:spacing w:before="160" w:after="80"/>
        <w:rPr>
          <w:rFonts w:ascii="Arial" w:hAnsi="Arial" w:cs="Arial"/>
          <w:sz w:val="24"/>
          <w:szCs w:val="24"/>
        </w:rPr>
      </w:pPr>
      <w:r w:rsidRPr="00AC6D72">
        <w:rPr>
          <w:rFonts w:ascii="Arial" w:hAnsi="Arial" w:cs="Arial"/>
          <w:b/>
          <w:bCs/>
          <w:color w:val="2E5395"/>
          <w:sz w:val="24"/>
          <w:szCs w:val="24"/>
        </w:rPr>
        <w:t>Document 1 — Origines du génome des humains actuels selon la région du monde</w:t>
      </w:r>
    </w:p>
    <w:p w14:paraId="43C95033" w14:textId="77777777" w:rsidR="00AC6D72" w:rsidRPr="00AC6D72" w:rsidRDefault="00AC6D72" w:rsidP="00AC6D72">
      <w:pPr>
        <w:spacing w:before="100" w:after="60"/>
        <w:jc w:val="center"/>
        <w:rPr>
          <w:rFonts w:ascii="Arial" w:hAnsi="Arial" w:cs="Arial"/>
          <w:sz w:val="24"/>
          <w:szCs w:val="24"/>
        </w:rPr>
      </w:pPr>
      <w:r w:rsidRPr="00AC6D72">
        <w:rPr>
          <w:rFonts w:ascii="Arial" w:hAnsi="Arial" w:cs="Arial"/>
          <w:noProof/>
          <w:sz w:val="24"/>
          <w:szCs w:val="24"/>
        </w:rPr>
        <w:lastRenderedPageBreak/>
        <w:drawing>
          <wp:inline distT="0" distB="0" distL="0" distR="0" wp14:anchorId="17ED662B" wp14:editId="09755139">
            <wp:extent cx="5667375" cy="2695575"/>
            <wp:effectExtent l="0" t="0" r="0" b="0"/>
            <wp:docPr id="746054010" name="Image 74605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667375" cy="2695575"/>
                    </a:xfrm>
                    <a:prstGeom prst="rect">
                      <a:avLst/>
                    </a:prstGeom>
                  </pic:spPr>
                </pic:pic>
              </a:graphicData>
            </a:graphic>
          </wp:inline>
        </w:drawing>
      </w:r>
    </w:p>
    <w:p w14:paraId="1D167ABD" w14:textId="77777777" w:rsidR="00AC6D72" w:rsidRPr="00AC6D72" w:rsidRDefault="00AC6D72" w:rsidP="00AC6D72">
      <w:pPr>
        <w:spacing w:after="200"/>
        <w:jc w:val="center"/>
        <w:rPr>
          <w:rFonts w:ascii="Arial" w:hAnsi="Arial" w:cs="Arial"/>
          <w:sz w:val="24"/>
          <w:szCs w:val="24"/>
        </w:rPr>
      </w:pPr>
      <w:r w:rsidRPr="00AC6D72">
        <w:rPr>
          <w:rFonts w:ascii="Arial" w:hAnsi="Arial" w:cs="Arial"/>
          <w:i/>
          <w:iCs/>
          <w:color w:val="595959"/>
          <w:sz w:val="24"/>
          <w:szCs w:val="24"/>
        </w:rPr>
        <w:t>Doc. 1 : proportion du génome des humains actuels issue de H. sapiens (origine africaine), H. neanderthalensis et H. de Denisova, selon la région du monde (Afrique subsaharienne, Eurasie et Amériques, Australie et Océanie). Source : Chris Stringer, Nature, 2012. Crédits : lelivrescolaire.fr</w:t>
      </w:r>
    </w:p>
    <w:p w14:paraId="026F5FB5" w14:textId="77777777" w:rsidR="00AC6D72" w:rsidRPr="00AC6D72" w:rsidRDefault="00AC6D72" w:rsidP="00AC6D72">
      <w:pPr>
        <w:spacing w:after="100"/>
        <w:rPr>
          <w:rFonts w:ascii="Arial" w:hAnsi="Arial" w:cs="Arial"/>
          <w:sz w:val="24"/>
          <w:szCs w:val="24"/>
        </w:rPr>
      </w:pPr>
      <w:r w:rsidRPr="00AC6D72">
        <w:rPr>
          <w:rFonts w:ascii="Arial" w:hAnsi="Arial" w:cs="Arial"/>
          <w:sz w:val="24"/>
          <w:szCs w:val="24"/>
        </w:rPr>
        <w:t xml:space="preserve">Vidéo ressource (Arte) : </w:t>
      </w:r>
      <w:hyperlink r:id="rId7" w:history="1">
        <w:r w:rsidRPr="00AC6D72">
          <w:rPr>
            <w:rStyle w:val="Lienhypertexte"/>
            <w:rFonts w:ascii="Arial" w:hAnsi="Arial" w:cs="Arial"/>
            <w:sz w:val="24"/>
            <w:szCs w:val="24"/>
          </w:rPr>
          <w:t>https://www.arte.tv/fr/videos/112656-001-A/donnez-un-morceau-d-adn-a-evelyne-heyer-elle-en-fait-une-histoire/</w:t>
        </w:r>
      </w:hyperlink>
    </w:p>
    <w:p w14:paraId="05B75B54" w14:textId="77777777" w:rsidR="00AC6D72" w:rsidRPr="00AC6D72" w:rsidRDefault="00AC6D72" w:rsidP="00AC6D72">
      <w:pPr>
        <w:spacing w:before="160" w:after="80"/>
        <w:rPr>
          <w:rFonts w:ascii="Arial" w:hAnsi="Arial" w:cs="Arial"/>
          <w:sz w:val="24"/>
          <w:szCs w:val="24"/>
        </w:rPr>
      </w:pPr>
      <w:r w:rsidRPr="00AC6D72">
        <w:rPr>
          <w:rFonts w:ascii="Arial" w:hAnsi="Arial" w:cs="Arial"/>
          <w:b/>
          <w:bCs/>
          <w:color w:val="2E5395"/>
          <w:sz w:val="24"/>
          <w:szCs w:val="24"/>
        </w:rPr>
        <w:t>Document 2 — Vocabulaire</w:t>
      </w:r>
    </w:p>
    <w:p w14:paraId="66375E50" w14:textId="77777777" w:rsidR="00AC6D72" w:rsidRPr="00AC6D72" w:rsidRDefault="00AC6D72" w:rsidP="00AC6D72">
      <w:pPr>
        <w:spacing w:before="100" w:after="60"/>
        <w:jc w:val="center"/>
        <w:rPr>
          <w:rFonts w:ascii="Arial" w:hAnsi="Arial" w:cs="Arial"/>
          <w:sz w:val="24"/>
          <w:szCs w:val="24"/>
        </w:rPr>
      </w:pPr>
      <w:r w:rsidRPr="00AC6D72">
        <w:rPr>
          <w:rFonts w:ascii="Arial" w:hAnsi="Arial" w:cs="Arial"/>
          <w:noProof/>
          <w:sz w:val="24"/>
          <w:szCs w:val="24"/>
        </w:rPr>
        <w:drawing>
          <wp:inline distT="0" distB="0" distL="0" distR="0" wp14:anchorId="74B9A3C3" wp14:editId="10CC688D">
            <wp:extent cx="5343525" cy="914400"/>
            <wp:effectExtent l="0" t="0" r="0" b="0"/>
            <wp:docPr id="2052365828" name="Image 205236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43525" cy="914400"/>
                    </a:xfrm>
                    <a:prstGeom prst="rect">
                      <a:avLst/>
                    </a:prstGeom>
                  </pic:spPr>
                </pic:pic>
              </a:graphicData>
            </a:graphic>
          </wp:inline>
        </w:drawing>
      </w:r>
    </w:p>
    <w:p w14:paraId="752A07C1" w14:textId="77777777" w:rsidR="00AC6D72" w:rsidRDefault="00AC6D72" w:rsidP="00AC6D72">
      <w:pPr>
        <w:spacing w:after="200"/>
        <w:jc w:val="center"/>
        <w:rPr>
          <w:rFonts w:ascii="Arial" w:hAnsi="Arial" w:cs="Arial"/>
          <w:i/>
          <w:iCs/>
          <w:color w:val="595959"/>
          <w:sz w:val="24"/>
          <w:szCs w:val="24"/>
        </w:rPr>
      </w:pPr>
      <w:r w:rsidRPr="00AC6D72">
        <w:rPr>
          <w:rFonts w:ascii="Arial" w:hAnsi="Arial" w:cs="Arial"/>
          <w:i/>
          <w:iCs/>
          <w:color w:val="595959"/>
          <w:sz w:val="24"/>
          <w:szCs w:val="24"/>
        </w:rPr>
        <w:t>Doc. 2 : Hybridation — croisement entre deux individus d'espèces différentes. Séquençage d'ADN — détermination de la succession des nucléotides grâce à des méthodes bio-informatiques.</w:t>
      </w:r>
    </w:p>
    <w:p w14:paraId="63DC6394" w14:textId="77777777" w:rsidR="00AC6D72" w:rsidRPr="00AC6D72" w:rsidRDefault="00AC6D72" w:rsidP="00AC6D72">
      <w:pPr>
        <w:spacing w:after="200"/>
        <w:jc w:val="center"/>
        <w:rPr>
          <w:rFonts w:ascii="Arial" w:hAnsi="Arial" w:cs="Arial"/>
          <w:sz w:val="24"/>
          <w:szCs w:val="24"/>
        </w:rPr>
      </w:pPr>
    </w:p>
    <w:p w14:paraId="68786CD3" w14:textId="77777777" w:rsidR="00AC6D72" w:rsidRPr="00AC6D72" w:rsidRDefault="00AC6D72" w:rsidP="00AC6D72">
      <w:pPr>
        <w:spacing w:before="160" w:after="80"/>
        <w:rPr>
          <w:rFonts w:ascii="Arial" w:hAnsi="Arial" w:cs="Arial"/>
          <w:sz w:val="24"/>
          <w:szCs w:val="24"/>
        </w:rPr>
      </w:pPr>
      <w:r w:rsidRPr="00AC6D72">
        <w:rPr>
          <w:rFonts w:ascii="Arial" w:hAnsi="Arial" w:cs="Arial"/>
          <w:b/>
          <w:bCs/>
          <w:color w:val="2E5395"/>
          <w:sz w:val="24"/>
          <w:szCs w:val="24"/>
        </w:rPr>
        <w:t>Document 3 — Relations connues entre les trois dernières espèces humaines</w:t>
      </w:r>
    </w:p>
    <w:p w14:paraId="6EF3C247" w14:textId="77777777" w:rsidR="00AC6D72" w:rsidRPr="00AC6D72" w:rsidRDefault="00AC6D72" w:rsidP="00AC6D72">
      <w:pPr>
        <w:spacing w:before="100" w:after="60"/>
        <w:jc w:val="center"/>
        <w:rPr>
          <w:rFonts w:ascii="Arial" w:hAnsi="Arial" w:cs="Arial"/>
          <w:sz w:val="24"/>
          <w:szCs w:val="24"/>
        </w:rPr>
      </w:pPr>
      <w:r w:rsidRPr="00AC6D72">
        <w:rPr>
          <w:rFonts w:ascii="Arial" w:hAnsi="Arial" w:cs="Arial"/>
          <w:noProof/>
          <w:sz w:val="24"/>
          <w:szCs w:val="24"/>
        </w:rPr>
        <w:lastRenderedPageBreak/>
        <w:drawing>
          <wp:inline distT="0" distB="0" distL="0" distR="0" wp14:anchorId="0CD3B4AE" wp14:editId="25D71D29">
            <wp:extent cx="6615430" cy="4276508"/>
            <wp:effectExtent l="0" t="0" r="0" b="0"/>
            <wp:docPr id="516231170" name="Image 51623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9"/>
                    <a:srcRect t="16388"/>
                    <a:stretch>
                      <a:fillRect/>
                    </a:stretch>
                  </pic:blipFill>
                  <pic:spPr bwMode="auto">
                    <a:xfrm>
                      <a:off x="0" y="0"/>
                      <a:ext cx="6624730" cy="4282520"/>
                    </a:xfrm>
                    <a:prstGeom prst="rect">
                      <a:avLst/>
                    </a:prstGeom>
                    <a:ln>
                      <a:noFill/>
                    </a:ln>
                    <a:extLst>
                      <a:ext uri="{53640926-AAD7-44D8-BBD7-CCE9431645EC}">
                        <a14:shadowObscured xmlns:a14="http://schemas.microsoft.com/office/drawing/2010/main"/>
                      </a:ext>
                    </a:extLst>
                  </pic:spPr>
                </pic:pic>
              </a:graphicData>
            </a:graphic>
          </wp:inline>
        </w:drawing>
      </w:r>
    </w:p>
    <w:p w14:paraId="1870FFA7" w14:textId="77777777" w:rsidR="00AC6D72" w:rsidRPr="00AC6D72" w:rsidRDefault="00AC6D72" w:rsidP="00AC6D72">
      <w:pPr>
        <w:spacing w:after="200"/>
        <w:jc w:val="center"/>
        <w:rPr>
          <w:rFonts w:ascii="Arial" w:hAnsi="Arial" w:cs="Arial"/>
          <w:sz w:val="24"/>
          <w:szCs w:val="24"/>
        </w:rPr>
      </w:pPr>
      <w:r w:rsidRPr="00AC6D72">
        <w:rPr>
          <w:rFonts w:ascii="Arial" w:hAnsi="Arial" w:cs="Arial"/>
          <w:i/>
          <w:iCs/>
          <w:color w:val="595959"/>
          <w:sz w:val="24"/>
          <w:szCs w:val="24"/>
        </w:rPr>
        <w:t>Doc. 3 : arbre résumant les apports des données moléculaires sur les relations entre les trois dernières espèces humaines (Dénisoviens, Néandertaliens, Homo sapiens) ayant existé sur Terre jusqu'à il y a 30 000 ans, avec plusieurs épisodes d'hybridation (flèches en pointillés). Source : Ewen Callaway, Nature, 2016.</w:t>
      </w:r>
    </w:p>
    <w:p w14:paraId="420C65D6"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Question d'exploitation</w:t>
      </w:r>
    </w:p>
    <w:p w14:paraId="70AB971C" w14:textId="77777777" w:rsidR="00AC6D72" w:rsidRPr="00AC6D72" w:rsidRDefault="00AC6D72" w:rsidP="00AC6D72">
      <w:pPr>
        <w:pStyle w:val="Paragraphedeliste"/>
        <w:numPr>
          <w:ilvl w:val="0"/>
          <w:numId w:val="1"/>
        </w:numPr>
        <w:spacing w:after="80"/>
        <w:contextualSpacing w:val="0"/>
        <w:rPr>
          <w:rFonts w:ascii="Arial" w:hAnsi="Arial" w:cs="Arial"/>
          <w:sz w:val="24"/>
          <w:szCs w:val="24"/>
        </w:rPr>
      </w:pPr>
      <w:r w:rsidRPr="00AC6D72">
        <w:rPr>
          <w:rFonts w:ascii="Arial" w:hAnsi="Arial" w:cs="Arial"/>
          <w:sz w:val="24"/>
          <w:szCs w:val="24"/>
        </w:rPr>
        <w:t>Indiquer quels sont les apports de la génétique moléculaire à la connaissance de l'histoire évolutive récente de la lignée humaine.</w:t>
      </w:r>
    </w:p>
    <w:p w14:paraId="01D0FB3F"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Compétences travaillées</w:t>
      </w:r>
    </w:p>
    <w:p w14:paraId="49434CEB" w14:textId="77777777" w:rsidR="00AC6D72" w:rsidRPr="00AC6D72" w:rsidRDefault="00AC6D72" w:rsidP="00AC6D72">
      <w:pPr>
        <w:pStyle w:val="Paragraphedeliste"/>
        <w:numPr>
          <w:ilvl w:val="0"/>
          <w:numId w:val="1"/>
        </w:numPr>
        <w:spacing w:after="80"/>
        <w:contextualSpacing w:val="0"/>
        <w:rPr>
          <w:rFonts w:ascii="Arial" w:hAnsi="Arial" w:cs="Arial"/>
          <w:sz w:val="24"/>
          <w:szCs w:val="24"/>
        </w:rPr>
      </w:pPr>
      <w:r w:rsidRPr="00AC6D72">
        <w:rPr>
          <w:rFonts w:ascii="Arial" w:hAnsi="Arial" w:cs="Arial"/>
          <w:sz w:val="24"/>
          <w:szCs w:val="24"/>
        </w:rPr>
        <w:t>Exploiter l'information utile.</w:t>
      </w:r>
    </w:p>
    <w:p w14:paraId="35EAB395" w14:textId="77777777" w:rsidR="00AC6D72" w:rsidRPr="00AC6D72" w:rsidRDefault="00AC6D72" w:rsidP="00AC6D72">
      <w:pPr>
        <w:pStyle w:val="Paragraphedeliste"/>
        <w:numPr>
          <w:ilvl w:val="0"/>
          <w:numId w:val="1"/>
        </w:numPr>
        <w:spacing w:after="80"/>
        <w:contextualSpacing w:val="0"/>
        <w:rPr>
          <w:rFonts w:ascii="Arial" w:hAnsi="Arial" w:cs="Arial"/>
          <w:sz w:val="24"/>
          <w:szCs w:val="24"/>
        </w:rPr>
      </w:pPr>
      <w:r w:rsidRPr="00AC6D72">
        <w:rPr>
          <w:rFonts w:ascii="Arial" w:hAnsi="Arial" w:cs="Arial"/>
          <w:sz w:val="24"/>
          <w:szCs w:val="24"/>
        </w:rPr>
        <w:t>Raisonner, argumenter scientifiquement.</w:t>
      </w:r>
    </w:p>
    <w:p w14:paraId="07F82E4E" w14:textId="77777777" w:rsidR="00AC6D72" w:rsidRPr="00AC6D72" w:rsidRDefault="00AC6D72" w:rsidP="00AC6D72">
      <w:pPr>
        <w:pStyle w:val="Titre2"/>
        <w:pBdr>
          <w:bottom w:val="single" w:sz="6" w:space="2" w:color="2E5395"/>
        </w:pBdr>
        <w:spacing w:before="260" w:after="120"/>
        <w:rPr>
          <w:rFonts w:ascii="Arial" w:hAnsi="Arial" w:cs="Arial"/>
          <w:sz w:val="24"/>
          <w:szCs w:val="24"/>
        </w:rPr>
      </w:pPr>
      <w:r w:rsidRPr="00AC6D72">
        <w:rPr>
          <w:rFonts w:ascii="Arial" w:hAnsi="Arial" w:cs="Arial"/>
          <w:b/>
          <w:bCs/>
          <w:color w:val="1F3864"/>
          <w:sz w:val="24"/>
          <w:szCs w:val="24"/>
        </w:rPr>
        <w:t>Grille d'évaluation indicative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5"/>
        <w:gridCol w:w="1121"/>
      </w:tblGrid>
      <w:tr w:rsidR="00AC6D72" w:rsidRPr="00AC6D72" w14:paraId="0A482267" w14:textId="77777777" w:rsidTr="00021E98">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57150B46" w14:textId="77777777" w:rsidR="00AC6D72" w:rsidRPr="00AC6D72" w:rsidRDefault="00AC6D72" w:rsidP="00021E98">
            <w:pPr>
              <w:jc w:val="center"/>
              <w:rPr>
                <w:rFonts w:ascii="Arial" w:hAnsi="Arial" w:cs="Arial"/>
                <w:sz w:val="24"/>
                <w:szCs w:val="24"/>
              </w:rPr>
            </w:pPr>
            <w:r w:rsidRPr="00AC6D72">
              <w:rPr>
                <w:rFonts w:ascii="Arial" w:hAnsi="Arial" w:cs="Arial"/>
                <w:b/>
                <w:bCs/>
                <w:sz w:val="24"/>
                <w:szCs w:val="24"/>
              </w:rPr>
              <w:t>Critère</w:t>
            </w:r>
          </w:p>
        </w:tc>
        <w:tc>
          <w:tcPr>
            <w:tcW w:w="0" w:type="auto"/>
            <w:tcBorders>
              <w:top w:val="single" w:sz="4" w:space="0" w:color="BFBFBF"/>
              <w:left w:val="single" w:sz="4" w:space="0" w:color="BFBFBF"/>
              <w:bottom w:val="single" w:sz="4" w:space="0" w:color="BFBFBF"/>
              <w:right w:val="single" w:sz="4" w:space="0" w:color="BFBFBF"/>
            </w:tcBorders>
            <w:shd w:val="clear" w:color="auto" w:fill="DDEBF7"/>
            <w:tcMar>
              <w:top w:w="80" w:type="dxa"/>
              <w:left w:w="120" w:type="dxa"/>
              <w:bottom w:w="80" w:type="dxa"/>
              <w:right w:w="120" w:type="dxa"/>
            </w:tcMar>
            <w:vAlign w:val="center"/>
          </w:tcPr>
          <w:p w14:paraId="5D5E6B52" w14:textId="77777777" w:rsidR="00AC6D72" w:rsidRPr="00AC6D72" w:rsidRDefault="00AC6D72" w:rsidP="00021E98">
            <w:pPr>
              <w:jc w:val="center"/>
              <w:rPr>
                <w:rFonts w:ascii="Arial" w:hAnsi="Arial" w:cs="Arial"/>
                <w:sz w:val="24"/>
                <w:szCs w:val="24"/>
              </w:rPr>
            </w:pPr>
            <w:r w:rsidRPr="00AC6D72">
              <w:rPr>
                <w:rFonts w:ascii="Arial" w:hAnsi="Arial" w:cs="Arial"/>
                <w:b/>
                <w:bCs/>
                <w:sz w:val="24"/>
                <w:szCs w:val="24"/>
              </w:rPr>
              <w:t>Barème</w:t>
            </w:r>
          </w:p>
        </w:tc>
      </w:tr>
      <w:tr w:rsidR="00AC6D72" w:rsidRPr="00AC6D72" w14:paraId="78BAE6B7"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C5C7554" w14:textId="77777777" w:rsidR="00AC6D72" w:rsidRPr="00AC6D72" w:rsidRDefault="00AC6D72" w:rsidP="00021E98">
            <w:pPr>
              <w:rPr>
                <w:rFonts w:ascii="Arial" w:hAnsi="Arial" w:cs="Arial"/>
                <w:sz w:val="24"/>
                <w:szCs w:val="24"/>
              </w:rPr>
            </w:pPr>
            <w:r w:rsidRPr="00AC6D72">
              <w:rPr>
                <w:rFonts w:ascii="Arial" w:hAnsi="Arial" w:cs="Arial"/>
                <w:sz w:val="24"/>
                <w:szCs w:val="24"/>
              </w:rPr>
              <w:t>Mise en évidence de l'hybridation entre H. sapiens et les autres espèces humaines (Néandertal, Denisova)</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20DDBED" w14:textId="77777777" w:rsidR="00AC6D72" w:rsidRPr="00AC6D72" w:rsidRDefault="00AC6D72" w:rsidP="00021E98">
            <w:pPr>
              <w:rPr>
                <w:rFonts w:ascii="Arial" w:hAnsi="Arial" w:cs="Arial"/>
                <w:sz w:val="24"/>
                <w:szCs w:val="24"/>
              </w:rPr>
            </w:pPr>
            <w:r w:rsidRPr="00AC6D72">
              <w:rPr>
                <w:rFonts w:ascii="Arial" w:hAnsi="Arial" w:cs="Arial"/>
                <w:sz w:val="24"/>
                <w:szCs w:val="24"/>
              </w:rPr>
              <w:t>/8</w:t>
            </w:r>
          </w:p>
        </w:tc>
      </w:tr>
      <w:tr w:rsidR="00AC6D72" w:rsidRPr="00AC6D72" w14:paraId="33043B54"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531EF98" w14:textId="77777777" w:rsidR="00AC6D72" w:rsidRPr="00AC6D72" w:rsidRDefault="00AC6D72" w:rsidP="00021E98">
            <w:pPr>
              <w:rPr>
                <w:rFonts w:ascii="Arial" w:hAnsi="Arial" w:cs="Arial"/>
                <w:sz w:val="24"/>
                <w:szCs w:val="24"/>
              </w:rPr>
            </w:pPr>
            <w:r w:rsidRPr="00AC6D72">
              <w:rPr>
                <w:rFonts w:ascii="Arial" w:hAnsi="Arial" w:cs="Arial"/>
                <w:sz w:val="24"/>
                <w:szCs w:val="24"/>
              </w:rPr>
              <w:t>Interprétation correcte de la variation géographique du taux d'ADN archaïque chez l'Homme actuel</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7C17076" w14:textId="77777777" w:rsidR="00AC6D72" w:rsidRPr="00AC6D72" w:rsidRDefault="00AC6D72" w:rsidP="00021E98">
            <w:pPr>
              <w:rPr>
                <w:rFonts w:ascii="Arial" w:hAnsi="Arial" w:cs="Arial"/>
                <w:sz w:val="24"/>
                <w:szCs w:val="24"/>
              </w:rPr>
            </w:pPr>
            <w:r w:rsidRPr="00AC6D72">
              <w:rPr>
                <w:rFonts w:ascii="Arial" w:hAnsi="Arial" w:cs="Arial"/>
                <w:sz w:val="24"/>
                <w:szCs w:val="24"/>
              </w:rPr>
              <w:t>/8</w:t>
            </w:r>
          </w:p>
        </w:tc>
      </w:tr>
      <w:tr w:rsidR="00AC6D72" w:rsidRPr="00AC6D72" w14:paraId="4E2DB63B" w14:textId="77777777" w:rsidTr="00021E98">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464E4E6" w14:textId="77777777" w:rsidR="00AC6D72" w:rsidRPr="00AC6D72" w:rsidRDefault="00AC6D72" w:rsidP="00021E98">
            <w:pPr>
              <w:rPr>
                <w:rFonts w:ascii="Arial" w:hAnsi="Arial" w:cs="Arial"/>
                <w:sz w:val="24"/>
                <w:szCs w:val="24"/>
              </w:rPr>
            </w:pPr>
            <w:r w:rsidRPr="00AC6D72">
              <w:rPr>
                <w:rFonts w:ascii="Arial" w:hAnsi="Arial" w:cs="Arial"/>
                <w:sz w:val="24"/>
                <w:szCs w:val="24"/>
              </w:rPr>
              <w:t>Mobilisation du vocabulaire scientifique adapté (hybridation, séquençage...)</w:t>
            </w:r>
          </w:p>
        </w:tc>
        <w:tc>
          <w:tcPr>
            <w:tcW w:w="0" w:type="auto"/>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AE2E28" w14:textId="77777777" w:rsidR="00AC6D72" w:rsidRPr="00AC6D72" w:rsidRDefault="00AC6D72" w:rsidP="00021E98">
            <w:pPr>
              <w:rPr>
                <w:rFonts w:ascii="Arial" w:hAnsi="Arial" w:cs="Arial"/>
                <w:sz w:val="24"/>
                <w:szCs w:val="24"/>
              </w:rPr>
            </w:pPr>
            <w:r w:rsidRPr="00AC6D72">
              <w:rPr>
                <w:rFonts w:ascii="Arial" w:hAnsi="Arial" w:cs="Arial"/>
                <w:sz w:val="24"/>
                <w:szCs w:val="24"/>
              </w:rPr>
              <w:t>/4</w:t>
            </w:r>
          </w:p>
        </w:tc>
      </w:tr>
    </w:tbl>
    <w:p w14:paraId="2444918E" w14:textId="6A4EBD45" w:rsidR="00747F75" w:rsidRDefault="00747F75"/>
    <w:sectPr w:rsidR="00747F75" w:rsidSect="00AC6D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A9E"/>
    <w:multiLevelType w:val="hybridMultilevel"/>
    <w:tmpl w:val="73228110"/>
    <w:lvl w:ilvl="0" w:tplc="E15C3B64">
      <w:start w:val="1"/>
      <w:numFmt w:val="bullet"/>
      <w:lvlText w:val="●"/>
      <w:lvlJc w:val="left"/>
      <w:pPr>
        <w:ind w:left="720" w:hanging="360"/>
      </w:pPr>
    </w:lvl>
    <w:lvl w:ilvl="1" w:tplc="DEFC2900">
      <w:start w:val="1"/>
      <w:numFmt w:val="bullet"/>
      <w:lvlText w:val="○"/>
      <w:lvlJc w:val="left"/>
      <w:pPr>
        <w:ind w:left="1440" w:hanging="360"/>
      </w:pPr>
    </w:lvl>
    <w:lvl w:ilvl="2" w:tplc="609A4CAC">
      <w:start w:val="1"/>
      <w:numFmt w:val="bullet"/>
      <w:lvlText w:val="■"/>
      <w:lvlJc w:val="left"/>
      <w:pPr>
        <w:ind w:left="2160" w:hanging="360"/>
      </w:pPr>
    </w:lvl>
    <w:lvl w:ilvl="3" w:tplc="B5B43B06">
      <w:start w:val="1"/>
      <w:numFmt w:val="bullet"/>
      <w:lvlText w:val="●"/>
      <w:lvlJc w:val="left"/>
      <w:pPr>
        <w:ind w:left="2880" w:hanging="360"/>
      </w:pPr>
    </w:lvl>
    <w:lvl w:ilvl="4" w:tplc="D07249BA">
      <w:start w:val="1"/>
      <w:numFmt w:val="bullet"/>
      <w:lvlText w:val="○"/>
      <w:lvlJc w:val="left"/>
      <w:pPr>
        <w:ind w:left="3600" w:hanging="360"/>
      </w:pPr>
    </w:lvl>
    <w:lvl w:ilvl="5" w:tplc="B920A4F2">
      <w:start w:val="1"/>
      <w:numFmt w:val="bullet"/>
      <w:lvlText w:val="■"/>
      <w:lvlJc w:val="left"/>
      <w:pPr>
        <w:ind w:left="4320" w:hanging="360"/>
      </w:pPr>
    </w:lvl>
    <w:lvl w:ilvl="6" w:tplc="7D883166">
      <w:start w:val="1"/>
      <w:numFmt w:val="bullet"/>
      <w:lvlText w:val="●"/>
      <w:lvlJc w:val="left"/>
      <w:pPr>
        <w:ind w:left="5040" w:hanging="360"/>
      </w:pPr>
    </w:lvl>
    <w:lvl w:ilvl="7" w:tplc="7E78372A">
      <w:start w:val="1"/>
      <w:numFmt w:val="bullet"/>
      <w:lvlText w:val="●"/>
      <w:lvlJc w:val="left"/>
      <w:pPr>
        <w:ind w:left="5760" w:hanging="360"/>
      </w:pPr>
    </w:lvl>
    <w:lvl w:ilvl="8" w:tplc="A4A6FE72">
      <w:start w:val="1"/>
      <w:numFmt w:val="bullet"/>
      <w:lvlText w:val="●"/>
      <w:lvlJc w:val="left"/>
      <w:pPr>
        <w:ind w:left="6480" w:hanging="360"/>
      </w:pPr>
    </w:lvl>
  </w:abstractNum>
  <w:num w:numId="1" w16cid:durableId="1818574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72"/>
    <w:rsid w:val="005148DC"/>
    <w:rsid w:val="0061424F"/>
    <w:rsid w:val="00616DA1"/>
    <w:rsid w:val="0071471E"/>
    <w:rsid w:val="00747F75"/>
    <w:rsid w:val="007F5ABE"/>
    <w:rsid w:val="00AC6D72"/>
    <w:rsid w:val="00DA1D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35B9"/>
  <w15:chartTrackingRefBased/>
  <w15:docId w15:val="{81A026BB-6063-487A-AFE3-1E9E429D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72"/>
    <w:pPr>
      <w:spacing w:after="0" w:line="240" w:lineRule="auto"/>
    </w:pPr>
    <w:rPr>
      <w:rFonts w:ascii="Calibri" w:eastAsia="Calibri" w:hAnsi="Calibri" w:cs="Calibri"/>
      <w:kern w:val="0"/>
      <w:sz w:val="22"/>
      <w:szCs w:val="22"/>
      <w:lang w:eastAsia="fr-FR"/>
      <w14:ligatures w14:val="none"/>
    </w:rPr>
  </w:style>
  <w:style w:type="paragraph" w:styleId="Titre1">
    <w:name w:val="heading 1"/>
    <w:basedOn w:val="Normal"/>
    <w:next w:val="Normal"/>
    <w:link w:val="Titre1Car"/>
    <w:uiPriority w:val="9"/>
    <w:qFormat/>
    <w:rsid w:val="00AC6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AC6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C6D7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C6D7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C6D7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C6D7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6D7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6D7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6D7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6D7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C6D7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C6D7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C6D7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C6D7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C6D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6D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6D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6D72"/>
    <w:rPr>
      <w:rFonts w:eastAsiaTheme="majorEastAsia" w:cstheme="majorBidi"/>
      <w:color w:val="272727" w:themeColor="text1" w:themeTint="D8"/>
    </w:rPr>
  </w:style>
  <w:style w:type="paragraph" w:styleId="Titre">
    <w:name w:val="Title"/>
    <w:basedOn w:val="Normal"/>
    <w:next w:val="Normal"/>
    <w:link w:val="TitreCar"/>
    <w:uiPriority w:val="10"/>
    <w:qFormat/>
    <w:rsid w:val="00AC6D7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6D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6D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6D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6D72"/>
    <w:pPr>
      <w:spacing w:before="160"/>
      <w:jc w:val="center"/>
    </w:pPr>
    <w:rPr>
      <w:i/>
      <w:iCs/>
      <w:color w:val="404040" w:themeColor="text1" w:themeTint="BF"/>
    </w:rPr>
  </w:style>
  <w:style w:type="character" w:customStyle="1" w:styleId="CitationCar">
    <w:name w:val="Citation Car"/>
    <w:basedOn w:val="Policepardfaut"/>
    <w:link w:val="Citation"/>
    <w:uiPriority w:val="29"/>
    <w:rsid w:val="00AC6D72"/>
    <w:rPr>
      <w:i/>
      <w:iCs/>
      <w:color w:val="404040" w:themeColor="text1" w:themeTint="BF"/>
    </w:rPr>
  </w:style>
  <w:style w:type="paragraph" w:styleId="Paragraphedeliste">
    <w:name w:val="List Paragraph"/>
    <w:basedOn w:val="Normal"/>
    <w:qFormat/>
    <w:rsid w:val="00AC6D72"/>
    <w:pPr>
      <w:ind w:left="720"/>
      <w:contextualSpacing/>
    </w:pPr>
  </w:style>
  <w:style w:type="character" w:styleId="Accentuationintense">
    <w:name w:val="Intense Emphasis"/>
    <w:basedOn w:val="Policepardfaut"/>
    <w:uiPriority w:val="21"/>
    <w:qFormat/>
    <w:rsid w:val="00AC6D72"/>
    <w:rPr>
      <w:i/>
      <w:iCs/>
      <w:color w:val="2F5496" w:themeColor="accent1" w:themeShade="BF"/>
    </w:rPr>
  </w:style>
  <w:style w:type="paragraph" w:styleId="Citationintense">
    <w:name w:val="Intense Quote"/>
    <w:basedOn w:val="Normal"/>
    <w:next w:val="Normal"/>
    <w:link w:val="CitationintenseCar"/>
    <w:uiPriority w:val="30"/>
    <w:qFormat/>
    <w:rsid w:val="00AC6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C6D72"/>
    <w:rPr>
      <w:i/>
      <w:iCs/>
      <w:color w:val="2F5496" w:themeColor="accent1" w:themeShade="BF"/>
    </w:rPr>
  </w:style>
  <w:style w:type="character" w:styleId="Rfrenceintense">
    <w:name w:val="Intense Reference"/>
    <w:basedOn w:val="Policepardfaut"/>
    <w:uiPriority w:val="32"/>
    <w:qFormat/>
    <w:rsid w:val="00AC6D72"/>
    <w:rPr>
      <w:b/>
      <w:bCs/>
      <w:smallCaps/>
      <w:color w:val="2F5496" w:themeColor="accent1" w:themeShade="BF"/>
      <w:spacing w:val="5"/>
    </w:rPr>
  </w:style>
  <w:style w:type="character" w:styleId="Lienhypertexte">
    <w:name w:val="Hyperlink"/>
    <w:uiPriority w:val="99"/>
    <w:unhideWhenUsed/>
    <w:rsid w:val="00AC6D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arte.tv/fr/videos/112656-001-A/donnez-un-morceau-d-adn-a-evelyne-heyer-elle-en-fait-une-histoi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402</Words>
  <Characters>2212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2</cp:revision>
  <dcterms:created xsi:type="dcterms:W3CDTF">2026-07-23T10:29:00Z</dcterms:created>
  <dcterms:modified xsi:type="dcterms:W3CDTF">2026-07-24T10:19:00Z</dcterms:modified>
</cp:coreProperties>
</file>