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1095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8025"/>
      </w:tblGrid>
      <w:tr w:rsidR="00FF5DEF" w14:paraId="5DAA4831" w14:textId="77777777" w:rsidTr="00991ED8">
        <w:trPr>
          <w:trHeight w:val="447"/>
        </w:trPr>
        <w:tc>
          <w:tcPr>
            <w:tcW w:w="2925" w:type="dxa"/>
            <w:shd w:val="clear" w:color="auto" w:fill="BFBFBF"/>
            <w:tcMar>
              <w:top w:w="100" w:type="dxa"/>
              <w:left w:w="100" w:type="dxa"/>
              <w:bottom w:w="100" w:type="dxa"/>
              <w:right w:w="100" w:type="dxa"/>
            </w:tcMar>
          </w:tcPr>
          <w:p w14:paraId="694FFF17" w14:textId="77777777" w:rsidR="00FF5DEF" w:rsidRDefault="00701FC0">
            <w:pPr>
              <w:pStyle w:val="normal0"/>
              <w:spacing w:before="100" w:after="100" w:line="240" w:lineRule="auto"/>
              <w:jc w:val="center"/>
            </w:pPr>
            <w:bookmarkStart w:id="0" w:name="_GoBack"/>
            <w:r>
              <w:rPr>
                <w:rFonts w:ascii="Comic Sans MS" w:eastAsia="Comic Sans MS" w:hAnsi="Comic Sans MS" w:cs="Comic Sans MS"/>
                <w:b/>
                <w:shd w:val="clear" w:color="auto" w:fill="BFBFBF"/>
              </w:rPr>
              <w:t>Critères</w:t>
            </w:r>
            <w:r>
              <w:rPr>
                <w:rFonts w:ascii="Comic Sans MS" w:eastAsia="Comic Sans MS" w:hAnsi="Comic Sans MS" w:cs="Comic Sans MS"/>
                <w:shd w:val="clear" w:color="auto" w:fill="BFBFBF"/>
              </w:rPr>
              <w:tab/>
            </w:r>
          </w:p>
        </w:tc>
        <w:tc>
          <w:tcPr>
            <w:tcW w:w="8025" w:type="dxa"/>
            <w:shd w:val="clear" w:color="auto" w:fill="BFBFBF"/>
            <w:tcMar>
              <w:top w:w="100" w:type="dxa"/>
              <w:left w:w="100" w:type="dxa"/>
              <w:bottom w:w="100" w:type="dxa"/>
              <w:right w:w="100" w:type="dxa"/>
            </w:tcMar>
          </w:tcPr>
          <w:p w14:paraId="3CF9FEA1" w14:textId="77777777" w:rsidR="00FF5DEF" w:rsidRDefault="00701FC0">
            <w:pPr>
              <w:pStyle w:val="normal0"/>
              <w:spacing w:before="100" w:after="100" w:line="240" w:lineRule="auto"/>
              <w:jc w:val="center"/>
            </w:pPr>
            <w:r>
              <w:rPr>
                <w:rFonts w:ascii="Comic Sans MS" w:eastAsia="Comic Sans MS" w:hAnsi="Comic Sans MS" w:cs="Comic Sans MS"/>
                <w:b/>
                <w:shd w:val="clear" w:color="auto" w:fill="BFBFBF"/>
              </w:rPr>
              <w:t>Indicateur (éléments de correction)</w:t>
            </w:r>
            <w:r>
              <w:rPr>
                <w:rFonts w:ascii="Comic Sans MS" w:eastAsia="Comic Sans MS" w:hAnsi="Comic Sans MS" w:cs="Comic Sans MS"/>
                <w:shd w:val="clear" w:color="auto" w:fill="BFBFBF"/>
              </w:rPr>
              <w:tab/>
            </w:r>
          </w:p>
        </w:tc>
      </w:tr>
      <w:bookmarkEnd w:id="0"/>
      <w:tr w:rsidR="00FF5DEF" w14:paraId="27D0E390" w14:textId="77777777">
        <w:tc>
          <w:tcPr>
            <w:tcW w:w="2925" w:type="dxa"/>
            <w:tcMar>
              <w:top w:w="100" w:type="dxa"/>
              <w:left w:w="100" w:type="dxa"/>
              <w:bottom w:w="100" w:type="dxa"/>
              <w:right w:w="100" w:type="dxa"/>
            </w:tcMar>
          </w:tcPr>
          <w:p w14:paraId="68A07A9B" w14:textId="77777777" w:rsidR="00FF5DEF" w:rsidRDefault="00701FC0">
            <w:pPr>
              <w:pStyle w:val="normal0"/>
              <w:spacing w:before="100" w:after="100" w:line="240" w:lineRule="auto"/>
            </w:pPr>
            <w:r>
              <w:rPr>
                <w:rFonts w:ascii="Comic Sans MS" w:eastAsia="Comic Sans MS" w:hAnsi="Comic Sans MS" w:cs="Comic Sans MS"/>
                <w:b/>
              </w:rPr>
              <w:t>Éléments scientifiques issus des documents</w:t>
            </w:r>
          </w:p>
          <w:p w14:paraId="6F8C8158" w14:textId="77777777" w:rsidR="00FF5DEF" w:rsidRDefault="00701FC0">
            <w:pPr>
              <w:pStyle w:val="normal0"/>
              <w:spacing w:before="100" w:after="100" w:line="240" w:lineRule="auto"/>
            </w:pPr>
            <w:r>
              <w:rPr>
                <w:rFonts w:ascii="Comic Sans MS" w:eastAsia="Comic Sans MS" w:hAnsi="Comic Sans MS" w:cs="Comic Sans MS"/>
              </w:rPr>
              <w:tab/>
            </w:r>
            <w:r>
              <w:rPr>
                <w:rFonts w:ascii="Comic Sans MS" w:eastAsia="Comic Sans MS" w:hAnsi="Comic Sans MS" w:cs="Comic Sans MS"/>
              </w:rPr>
              <w:tab/>
            </w:r>
            <w:r>
              <w:rPr>
                <w:rFonts w:ascii="Comic Sans MS" w:eastAsia="Comic Sans MS" w:hAnsi="Comic Sans MS" w:cs="Comic Sans MS"/>
              </w:rPr>
              <w:tab/>
            </w:r>
          </w:p>
          <w:p w14:paraId="7C4B0287" w14:textId="77777777" w:rsidR="00FF5DEF" w:rsidRDefault="00FF5DEF">
            <w:pPr>
              <w:pStyle w:val="normal0"/>
            </w:pPr>
          </w:p>
          <w:p w14:paraId="64ACF518" w14:textId="77777777" w:rsidR="00FF5DEF" w:rsidRDefault="00701FC0">
            <w:pPr>
              <w:pStyle w:val="normal0"/>
              <w:spacing w:before="100" w:after="100" w:line="240" w:lineRule="auto"/>
            </w:pPr>
            <w:r>
              <w:rPr>
                <w:rFonts w:ascii="Comic Sans MS" w:eastAsia="Comic Sans MS" w:hAnsi="Comic Sans MS" w:cs="Comic Sans MS"/>
              </w:rPr>
              <w:tab/>
            </w:r>
            <w:r>
              <w:rPr>
                <w:rFonts w:ascii="Comic Sans MS" w:eastAsia="Comic Sans MS" w:hAnsi="Comic Sans MS" w:cs="Comic Sans MS"/>
              </w:rPr>
              <w:tab/>
            </w:r>
          </w:p>
        </w:tc>
        <w:tc>
          <w:tcPr>
            <w:tcW w:w="8025" w:type="dxa"/>
            <w:tcMar>
              <w:top w:w="100" w:type="dxa"/>
              <w:left w:w="100" w:type="dxa"/>
              <w:bottom w:w="100" w:type="dxa"/>
              <w:right w:w="100" w:type="dxa"/>
            </w:tcMar>
          </w:tcPr>
          <w:p w14:paraId="11A1629F" w14:textId="7FE7C225" w:rsidR="00DF38D7" w:rsidRPr="00DF38D7" w:rsidRDefault="00DF38D7">
            <w:pPr>
              <w:pStyle w:val="normal0"/>
              <w:spacing w:before="100" w:after="100" w:line="240" w:lineRule="auto"/>
              <w:ind w:left="340" w:hanging="360"/>
              <w:rPr>
                <w:rFonts w:ascii="Comic Sans MS" w:eastAsia="Comic Sans MS" w:hAnsi="Comic Sans MS" w:cs="Comic Sans MS"/>
              </w:rPr>
            </w:pPr>
            <w:r>
              <w:rPr>
                <w:rFonts w:ascii="Comic Sans MS" w:eastAsia="Comic Sans MS" w:hAnsi="Comic Sans MS" w:cs="Comic Sans MS"/>
                <w:b/>
              </w:rPr>
              <w:t xml:space="preserve">Documen1: </w:t>
            </w:r>
            <w:r>
              <w:rPr>
                <w:rFonts w:ascii="Comic Sans MS" w:eastAsia="Comic Sans MS" w:hAnsi="Comic Sans MS" w:cs="Comic Sans MS"/>
              </w:rPr>
              <w:t>la digestion de l'amidon fait intervenir 2 enzymes dont l'amylase. Cette digestion complète donnera du glucose;</w:t>
            </w:r>
          </w:p>
          <w:p w14:paraId="6BC20750" w14:textId="77777777" w:rsidR="00FF5DEF" w:rsidRDefault="00701FC0">
            <w:pPr>
              <w:pStyle w:val="normal0"/>
              <w:spacing w:before="100" w:after="100" w:line="240" w:lineRule="auto"/>
              <w:ind w:left="340" w:hanging="360"/>
            </w:pPr>
            <w:r>
              <w:rPr>
                <w:rFonts w:ascii="Comic Sans MS" w:eastAsia="Comic Sans MS" w:hAnsi="Comic Sans MS" w:cs="Comic Sans MS"/>
                <w:b/>
              </w:rPr>
              <w:t>Document 2 :</w:t>
            </w:r>
          </w:p>
          <w:p w14:paraId="0D9F81AD" w14:textId="77777777" w:rsidR="00FF5DEF" w:rsidRDefault="00701FC0">
            <w:pPr>
              <w:pStyle w:val="normal0"/>
              <w:spacing w:before="100" w:after="100" w:line="240" w:lineRule="auto"/>
            </w:pPr>
            <w:r>
              <w:rPr>
                <w:rFonts w:ascii="Comic Sans MS" w:eastAsia="Comic Sans MS" w:hAnsi="Comic Sans MS" w:cs="Comic Sans MS"/>
              </w:rPr>
              <w:t xml:space="preserve">Témoin=0 </w:t>
            </w:r>
            <w:proofErr w:type="spellStart"/>
            <w:r>
              <w:rPr>
                <w:rFonts w:ascii="Comic Sans MS" w:eastAsia="Comic Sans MS" w:hAnsi="Comic Sans MS" w:cs="Comic Sans MS"/>
              </w:rPr>
              <w:t>acarbose</w:t>
            </w:r>
            <w:proofErr w:type="spellEnd"/>
            <w:r>
              <w:rPr>
                <w:rFonts w:ascii="Comic Sans MS" w:eastAsia="Comic Sans MS" w:hAnsi="Comic Sans MS" w:cs="Comic Sans MS"/>
              </w:rPr>
              <w:t xml:space="preserve"> dans le milieu. L'activité de l'amylase est à son maximum alors que avec de l'</w:t>
            </w:r>
            <w:proofErr w:type="spellStart"/>
            <w:r>
              <w:rPr>
                <w:rFonts w:ascii="Comic Sans MS" w:eastAsia="Comic Sans MS" w:hAnsi="Comic Sans MS" w:cs="Comic Sans MS"/>
              </w:rPr>
              <w:t>acarbose</w:t>
            </w:r>
            <w:proofErr w:type="spellEnd"/>
            <w:r>
              <w:rPr>
                <w:rFonts w:ascii="Comic Sans MS" w:eastAsia="Comic Sans MS" w:hAnsi="Comic Sans MS" w:cs="Comic Sans MS"/>
              </w:rPr>
              <w:t xml:space="preserve"> dans le milieu, l'activité de l'amylase diminue (pas de calcul de </w:t>
            </w:r>
            <w:proofErr w:type="spellStart"/>
            <w:r>
              <w:rPr>
                <w:rFonts w:ascii="Comic Sans MS" w:eastAsia="Comic Sans MS" w:hAnsi="Comic Sans MS" w:cs="Comic Sans MS"/>
              </w:rPr>
              <w:t>coeff</w:t>
            </w:r>
            <w:proofErr w:type="spellEnd"/>
            <w:r>
              <w:rPr>
                <w:rFonts w:ascii="Comic Sans MS" w:eastAsia="Comic Sans MS" w:hAnsi="Comic Sans MS" w:cs="Comic Sans MS"/>
              </w:rPr>
              <w:t xml:space="preserve"> directeur possible car non linéaire).A partir de 100µq.ml-1, l'activité de l’amylase est à son minimum. On peut en déduire que si il y a présence d'</w:t>
            </w:r>
            <w:proofErr w:type="spellStart"/>
            <w:r>
              <w:rPr>
                <w:rFonts w:ascii="Comic Sans MS" w:eastAsia="Comic Sans MS" w:hAnsi="Comic Sans MS" w:cs="Comic Sans MS"/>
              </w:rPr>
              <w:t>acarbose</w:t>
            </w:r>
            <w:proofErr w:type="spellEnd"/>
            <w:r>
              <w:rPr>
                <w:rFonts w:ascii="Comic Sans MS" w:eastAsia="Comic Sans MS" w:hAnsi="Comic Sans MS" w:cs="Comic Sans MS"/>
              </w:rPr>
              <w:t xml:space="preserve"> dans le milieu, la vitesse d'hydrolyse de l'amidon sera réduite et donc il y aura moins de glucose à passer dans le sang. L'</w:t>
            </w:r>
            <w:proofErr w:type="spellStart"/>
            <w:r>
              <w:rPr>
                <w:rFonts w:ascii="Comic Sans MS" w:eastAsia="Comic Sans MS" w:hAnsi="Comic Sans MS" w:cs="Comic Sans MS"/>
              </w:rPr>
              <w:t>acarbose</w:t>
            </w:r>
            <w:proofErr w:type="spellEnd"/>
            <w:r>
              <w:rPr>
                <w:rFonts w:ascii="Comic Sans MS" w:eastAsia="Comic Sans MS" w:hAnsi="Comic Sans MS" w:cs="Comic Sans MS"/>
              </w:rPr>
              <w:t xml:space="preserve"> doit avoir une action sur le site actif de l'enzyme. On remarque sur l'activité de l'enzyme ne peut pas être annulée. Cela implique un contrôle des apports en amidon.</w:t>
            </w:r>
          </w:p>
          <w:p w14:paraId="3B3E75D5" w14:textId="77777777" w:rsidR="00FF5DEF" w:rsidRDefault="00701FC0">
            <w:pPr>
              <w:pStyle w:val="normal0"/>
              <w:spacing w:before="100" w:after="100" w:line="240" w:lineRule="auto"/>
              <w:ind w:left="340" w:hanging="360"/>
            </w:pPr>
            <w:r>
              <w:rPr>
                <w:rFonts w:ascii="Comic Sans MS" w:eastAsia="Comic Sans MS" w:hAnsi="Comic Sans MS" w:cs="Comic Sans MS"/>
                <w:b/>
              </w:rPr>
              <w:t>Document 3</w:t>
            </w:r>
            <w:r>
              <w:rPr>
                <w:rFonts w:ascii="Comic Sans MS" w:eastAsia="Comic Sans MS" w:hAnsi="Comic Sans MS" w:cs="Comic Sans MS"/>
              </w:rPr>
              <w:t xml:space="preserve"> :</w:t>
            </w:r>
          </w:p>
          <w:p w14:paraId="663B37C1" w14:textId="77777777" w:rsidR="00FF5DEF" w:rsidRDefault="00701FC0">
            <w:pPr>
              <w:pStyle w:val="normal0"/>
              <w:spacing w:before="100" w:after="100" w:line="240" w:lineRule="auto"/>
            </w:pPr>
            <w:r>
              <w:rPr>
                <w:rFonts w:ascii="Comic Sans MS" w:eastAsia="Comic Sans MS" w:hAnsi="Comic Sans MS" w:cs="Comic Sans MS"/>
              </w:rPr>
              <w:t>Structure moléculaire similaire donc on peut supposer que ces deux molécules vont pouvoir se fixer sur le site actif mais ne donneront pas les mêmes produits. Comme une enzyme donne toujours les mêmes produits, elle ne donnera pas de produits si l’</w:t>
            </w:r>
            <w:proofErr w:type="spellStart"/>
            <w:r>
              <w:rPr>
                <w:rFonts w:ascii="Comic Sans MS" w:eastAsia="Comic Sans MS" w:hAnsi="Comic Sans MS" w:cs="Comic Sans MS"/>
              </w:rPr>
              <w:t>acarbose</w:t>
            </w:r>
            <w:proofErr w:type="spellEnd"/>
            <w:r>
              <w:rPr>
                <w:rFonts w:ascii="Comic Sans MS" w:eastAsia="Comic Sans MS" w:hAnsi="Comic Sans MS" w:cs="Comic Sans MS"/>
              </w:rPr>
              <w:t xml:space="preserve"> fixe sur son site actif.</w:t>
            </w:r>
          </w:p>
          <w:p w14:paraId="08D6DCFB" w14:textId="77777777" w:rsidR="00FF5DEF" w:rsidRDefault="00701FC0">
            <w:pPr>
              <w:pStyle w:val="normal0"/>
              <w:spacing w:before="100" w:after="100" w:line="240" w:lineRule="auto"/>
            </w:pPr>
            <w:r>
              <w:rPr>
                <w:rFonts w:ascii="Comic Sans MS" w:eastAsia="Comic Sans MS" w:hAnsi="Comic Sans MS" w:cs="Comic Sans MS"/>
                <w:b/>
              </w:rPr>
              <w:t>Document 4:</w:t>
            </w:r>
          </w:p>
          <w:p w14:paraId="7165CCEF" w14:textId="77777777" w:rsidR="00FF5DEF" w:rsidRDefault="00701FC0">
            <w:pPr>
              <w:pStyle w:val="normal0"/>
              <w:spacing w:before="100" w:after="100" w:line="240" w:lineRule="auto"/>
              <w:rPr>
                <w:rFonts w:ascii="Comic Sans MS" w:eastAsia="Comic Sans MS" w:hAnsi="Comic Sans MS" w:cs="Comic Sans MS"/>
              </w:rPr>
            </w:pPr>
            <w:r>
              <w:rPr>
                <w:rFonts w:ascii="Comic Sans MS" w:eastAsia="Comic Sans MS" w:hAnsi="Comic Sans MS" w:cs="Comic Sans MS"/>
              </w:rPr>
              <w:t>Fixation de la molécule d'</w:t>
            </w:r>
            <w:proofErr w:type="spellStart"/>
            <w:r>
              <w:rPr>
                <w:rFonts w:ascii="Comic Sans MS" w:eastAsia="Comic Sans MS" w:hAnsi="Comic Sans MS" w:cs="Comic Sans MS"/>
              </w:rPr>
              <w:t>acarbose</w:t>
            </w:r>
            <w:proofErr w:type="spellEnd"/>
            <w:r>
              <w:rPr>
                <w:rFonts w:ascii="Comic Sans MS" w:eastAsia="Comic Sans MS" w:hAnsi="Comic Sans MS" w:cs="Comic Sans MS"/>
              </w:rPr>
              <w:t xml:space="preserve"> sur le site actif donc occupation du site actif donc pas de fixation d'amidon donc pas hydrolyse d’amidon.</w:t>
            </w:r>
          </w:p>
          <w:p w14:paraId="6973D772" w14:textId="77777777" w:rsidR="00DF38D7" w:rsidRDefault="00DF38D7" w:rsidP="00DF38D7">
            <w:pPr>
              <w:pStyle w:val="normal0"/>
              <w:spacing w:before="100" w:after="100" w:line="240" w:lineRule="auto"/>
              <w:ind w:left="340" w:hanging="360"/>
            </w:pPr>
            <w:r>
              <w:rPr>
                <w:rFonts w:ascii="Comic Sans MS" w:eastAsia="Comic Sans MS" w:hAnsi="Comic Sans MS" w:cs="Comic Sans MS"/>
                <w:b/>
              </w:rPr>
              <w:t>Document 5 :</w:t>
            </w:r>
          </w:p>
          <w:p w14:paraId="35E831F2" w14:textId="19C99E43" w:rsidR="00DF38D7" w:rsidRDefault="00DF38D7" w:rsidP="00DF38D7">
            <w:pPr>
              <w:pStyle w:val="normal0"/>
              <w:spacing w:before="100" w:after="100" w:line="240" w:lineRule="auto"/>
              <w:ind w:left="340" w:hanging="360"/>
            </w:pPr>
            <w:r>
              <w:rPr>
                <w:rFonts w:ascii="Comic Sans MS" w:eastAsia="Comic Sans MS" w:hAnsi="Comic Sans MS" w:cs="Comic Sans MS"/>
              </w:rPr>
              <w:t>Teneur en amidon variable selon l'aliment donc quantité de glucose passant dans le sang variable selon l’aliment digéré.</w:t>
            </w:r>
            <w:r w:rsidR="006B5FD0">
              <w:rPr>
                <w:rFonts w:ascii="Comic Sans MS" w:eastAsia="Comic Sans MS" w:hAnsi="Comic Sans MS" w:cs="Comic Sans MS"/>
              </w:rPr>
              <w:t xml:space="preserve"> Teneur en amidon très importante dans les plats préparés industriels.</w:t>
            </w:r>
          </w:p>
        </w:tc>
      </w:tr>
      <w:tr w:rsidR="00FF5DEF" w14:paraId="3A24259F" w14:textId="77777777">
        <w:tc>
          <w:tcPr>
            <w:tcW w:w="2925" w:type="dxa"/>
            <w:tcMar>
              <w:top w:w="100" w:type="dxa"/>
              <w:left w:w="100" w:type="dxa"/>
              <w:bottom w:w="100" w:type="dxa"/>
              <w:right w:w="100" w:type="dxa"/>
            </w:tcMar>
          </w:tcPr>
          <w:p w14:paraId="13B6CC34" w14:textId="77777777" w:rsidR="00FF5DEF" w:rsidRDefault="00701FC0">
            <w:pPr>
              <w:pStyle w:val="normal0"/>
              <w:spacing w:before="100" w:after="100" w:line="240" w:lineRule="auto"/>
            </w:pPr>
            <w:r>
              <w:rPr>
                <w:rFonts w:ascii="Comic Sans MS" w:eastAsia="Comic Sans MS" w:hAnsi="Comic Sans MS" w:cs="Comic Sans MS"/>
                <w:b/>
              </w:rPr>
              <w:t>Éléments scientifiques issus des connaissances acquises</w:t>
            </w:r>
            <w:r>
              <w:rPr>
                <w:rFonts w:ascii="Comic Sans MS" w:eastAsia="Comic Sans MS" w:hAnsi="Comic Sans MS" w:cs="Comic Sans MS"/>
              </w:rPr>
              <w:t>.</w:t>
            </w:r>
          </w:p>
        </w:tc>
        <w:tc>
          <w:tcPr>
            <w:tcW w:w="8025" w:type="dxa"/>
            <w:tcMar>
              <w:top w:w="100" w:type="dxa"/>
              <w:left w:w="100" w:type="dxa"/>
              <w:bottom w:w="100" w:type="dxa"/>
              <w:right w:w="100" w:type="dxa"/>
            </w:tcMar>
          </w:tcPr>
          <w:p w14:paraId="66C4A5E7" w14:textId="77777777" w:rsidR="00FF5DEF" w:rsidRDefault="00701FC0">
            <w:pPr>
              <w:pStyle w:val="normal0"/>
              <w:numPr>
                <w:ilvl w:val="0"/>
                <w:numId w:val="2"/>
              </w:numPr>
              <w:spacing w:before="100" w:after="100" w:line="240" w:lineRule="auto"/>
              <w:ind w:left="340" w:hanging="360"/>
              <w:contextualSpacing/>
              <w:rPr>
                <w:rFonts w:ascii="Comic Sans MS" w:eastAsia="Comic Sans MS" w:hAnsi="Comic Sans MS" w:cs="Comic Sans MS"/>
              </w:rPr>
            </w:pPr>
            <w:r>
              <w:rPr>
                <w:rFonts w:ascii="Comic Sans MS" w:eastAsia="Comic Sans MS" w:hAnsi="Comic Sans MS" w:cs="Comic Sans MS"/>
              </w:rPr>
              <w:t>définition d’une enzyme: site actif- substrat- produit(s)- spécificités</w:t>
            </w:r>
          </w:p>
          <w:p w14:paraId="04A6D9D8" w14:textId="15171ACD" w:rsidR="00FF5DEF" w:rsidRDefault="00DF38D7">
            <w:pPr>
              <w:pStyle w:val="normal0"/>
              <w:numPr>
                <w:ilvl w:val="0"/>
                <w:numId w:val="2"/>
              </w:numPr>
              <w:spacing w:before="100" w:after="100" w:line="240" w:lineRule="auto"/>
              <w:ind w:left="340" w:hanging="360"/>
              <w:contextualSpacing/>
              <w:rPr>
                <w:rFonts w:ascii="Comic Sans MS" w:eastAsia="Comic Sans MS" w:hAnsi="Comic Sans MS" w:cs="Comic Sans MS"/>
              </w:rPr>
            </w:pPr>
            <w:r>
              <w:rPr>
                <w:rFonts w:ascii="Comic Sans MS" w:eastAsia="Comic Sans MS" w:hAnsi="Comic Sans MS" w:cs="Comic Sans MS"/>
              </w:rPr>
              <w:t>glucose passe du système digestif</w:t>
            </w:r>
            <w:r w:rsidR="00701FC0">
              <w:rPr>
                <w:rFonts w:ascii="Comic Sans MS" w:eastAsia="Comic Sans MS" w:hAnsi="Comic Sans MS" w:cs="Comic Sans MS"/>
              </w:rPr>
              <w:t xml:space="preserve"> au sang</w:t>
            </w:r>
          </w:p>
          <w:p w14:paraId="0FFFEEAA" w14:textId="77777777" w:rsidR="00FF5DEF" w:rsidRDefault="00701FC0">
            <w:pPr>
              <w:pStyle w:val="normal0"/>
              <w:numPr>
                <w:ilvl w:val="0"/>
                <w:numId w:val="2"/>
              </w:numPr>
              <w:spacing w:before="100" w:after="100" w:line="240" w:lineRule="auto"/>
              <w:ind w:left="340" w:hanging="360"/>
              <w:contextualSpacing/>
              <w:rPr>
                <w:rFonts w:ascii="Comic Sans MS" w:eastAsia="Comic Sans MS" w:hAnsi="Comic Sans MS" w:cs="Comic Sans MS"/>
              </w:rPr>
            </w:pPr>
            <w:r>
              <w:rPr>
                <w:rFonts w:ascii="Comic Sans MS" w:eastAsia="Comic Sans MS" w:hAnsi="Comic Sans MS" w:cs="Comic Sans MS"/>
              </w:rPr>
              <w:t>inhibition du site actif empêche la formation de produit</w:t>
            </w:r>
          </w:p>
          <w:p w14:paraId="712C933B" w14:textId="77777777" w:rsidR="00FF5DEF" w:rsidRDefault="00701FC0">
            <w:pPr>
              <w:pStyle w:val="normal0"/>
              <w:numPr>
                <w:ilvl w:val="0"/>
                <w:numId w:val="2"/>
              </w:numPr>
              <w:spacing w:before="100" w:after="100" w:line="240" w:lineRule="auto"/>
              <w:ind w:left="340" w:hanging="360"/>
              <w:contextualSpacing/>
              <w:rPr>
                <w:rFonts w:ascii="Comic Sans MS" w:eastAsia="Comic Sans MS" w:hAnsi="Comic Sans MS" w:cs="Comic Sans MS"/>
              </w:rPr>
            </w:pPr>
            <w:r>
              <w:rPr>
                <w:rFonts w:ascii="Comic Sans MS" w:eastAsia="Comic Sans MS" w:hAnsi="Comic Sans MS" w:cs="Comic Sans MS"/>
              </w:rPr>
              <w:t>affinité spatiale entre E et S</w:t>
            </w:r>
          </w:p>
          <w:p w14:paraId="6873B643" w14:textId="56193738" w:rsidR="006B5FD0" w:rsidRDefault="006B5FD0">
            <w:pPr>
              <w:pStyle w:val="normal0"/>
              <w:numPr>
                <w:ilvl w:val="0"/>
                <w:numId w:val="2"/>
              </w:numPr>
              <w:spacing w:before="100" w:after="100" w:line="240" w:lineRule="auto"/>
              <w:ind w:left="340" w:hanging="360"/>
              <w:contextualSpacing/>
              <w:rPr>
                <w:rFonts w:ascii="Comic Sans MS" w:eastAsia="Comic Sans MS" w:hAnsi="Comic Sans MS" w:cs="Comic Sans MS"/>
              </w:rPr>
            </w:pPr>
            <w:r>
              <w:rPr>
                <w:rFonts w:ascii="Comic Sans MS" w:eastAsia="Comic Sans MS" w:hAnsi="Comic Sans MS" w:cs="Comic Sans MS"/>
              </w:rPr>
              <w:t>schéma d'une réaction enzymatique témoin</w:t>
            </w:r>
          </w:p>
        </w:tc>
      </w:tr>
      <w:tr w:rsidR="00FF5DEF" w14:paraId="10816057" w14:textId="77777777">
        <w:tc>
          <w:tcPr>
            <w:tcW w:w="2925" w:type="dxa"/>
            <w:tcMar>
              <w:top w:w="100" w:type="dxa"/>
              <w:left w:w="100" w:type="dxa"/>
              <w:bottom w:w="100" w:type="dxa"/>
              <w:right w:w="100" w:type="dxa"/>
            </w:tcMar>
          </w:tcPr>
          <w:p w14:paraId="17C41337" w14:textId="77777777" w:rsidR="00FF5DEF" w:rsidRDefault="00701FC0">
            <w:pPr>
              <w:pStyle w:val="normal0"/>
              <w:spacing w:before="100" w:after="100" w:line="240" w:lineRule="auto"/>
            </w:pPr>
            <w:r>
              <w:rPr>
                <w:rFonts w:ascii="Comic Sans MS" w:eastAsia="Comic Sans MS" w:hAnsi="Comic Sans MS" w:cs="Comic Sans MS"/>
                <w:b/>
              </w:rPr>
              <w:t>Éléments de démarche</w:t>
            </w:r>
          </w:p>
          <w:p w14:paraId="5821DF46" w14:textId="77777777" w:rsidR="00FF5DEF" w:rsidRDefault="00701FC0">
            <w:pPr>
              <w:pStyle w:val="normal0"/>
              <w:spacing w:before="100" w:after="100" w:line="240" w:lineRule="auto"/>
            </w:pPr>
            <w:r>
              <w:rPr>
                <w:rFonts w:ascii="Comic Sans MS" w:eastAsia="Comic Sans MS" w:hAnsi="Comic Sans MS" w:cs="Comic Sans MS"/>
              </w:rPr>
              <w:t xml:space="preserve">L'élève présente la démarche qu'il a choisie pour répondre à la problématique dans un texte soigné, cohérent, </w:t>
            </w:r>
            <w:r>
              <w:rPr>
                <w:rFonts w:ascii="Comic Sans MS" w:eastAsia="Comic Sans MS" w:hAnsi="Comic Sans MS" w:cs="Comic Sans MS"/>
              </w:rPr>
              <w:lastRenderedPageBreak/>
              <w:t>structuré, par des connecteurs logiques en mettant clairement en évidence les relations entre les divers arguments utilisés.</w:t>
            </w:r>
          </w:p>
        </w:tc>
        <w:tc>
          <w:tcPr>
            <w:tcW w:w="8025" w:type="dxa"/>
            <w:tcMar>
              <w:top w:w="100" w:type="dxa"/>
              <w:left w:w="100" w:type="dxa"/>
              <w:bottom w:w="100" w:type="dxa"/>
              <w:right w:w="100" w:type="dxa"/>
            </w:tcMar>
          </w:tcPr>
          <w:p w14:paraId="206831B1" w14:textId="77777777" w:rsidR="006B5FD0" w:rsidRDefault="00701FC0">
            <w:pPr>
              <w:pStyle w:val="normal0"/>
              <w:numPr>
                <w:ilvl w:val="0"/>
                <w:numId w:val="1"/>
              </w:numPr>
              <w:spacing w:before="100" w:after="100" w:line="240" w:lineRule="auto"/>
              <w:ind w:left="340" w:hanging="360"/>
              <w:contextualSpacing/>
              <w:rPr>
                <w:rFonts w:ascii="Comic Sans MS" w:eastAsia="Comic Sans MS" w:hAnsi="Comic Sans MS" w:cs="Comic Sans MS"/>
              </w:rPr>
            </w:pPr>
            <w:r>
              <w:rPr>
                <w:rFonts w:ascii="Comic Sans MS" w:eastAsia="Comic Sans MS" w:hAnsi="Comic Sans MS" w:cs="Comic Sans MS"/>
              </w:rPr>
              <w:lastRenderedPageBreak/>
              <w:t>L'</w:t>
            </w:r>
            <w:proofErr w:type="spellStart"/>
            <w:r>
              <w:rPr>
                <w:rFonts w:ascii="Comic Sans MS" w:eastAsia="Comic Sans MS" w:hAnsi="Comic Sans MS" w:cs="Comic Sans MS"/>
              </w:rPr>
              <w:t>Acarbose</w:t>
            </w:r>
            <w:proofErr w:type="spellEnd"/>
            <w:r>
              <w:rPr>
                <w:rFonts w:ascii="Comic Sans MS" w:eastAsia="Comic Sans MS" w:hAnsi="Comic Sans MS" w:cs="Comic Sans MS"/>
              </w:rPr>
              <w:t xml:space="preserve"> se fixe sur le site actif de l'enzyme par affinité spatiale. Il occupe alors la place de l’amidon, aucune hydrolyse n’est alors possible et aucun glucose ne sera créé. L'activité enzymatique dans le tube digestif sera alors </w:t>
            </w:r>
            <w:proofErr w:type="gramStart"/>
            <w:r>
              <w:rPr>
                <w:rFonts w:ascii="Comic Sans MS" w:eastAsia="Comic Sans MS" w:hAnsi="Comic Sans MS" w:cs="Comic Sans MS"/>
              </w:rPr>
              <w:t>diminué</w:t>
            </w:r>
            <w:proofErr w:type="gramEnd"/>
            <w:r>
              <w:rPr>
                <w:rFonts w:ascii="Comic Sans MS" w:eastAsia="Comic Sans MS" w:hAnsi="Comic Sans MS" w:cs="Comic Sans MS"/>
              </w:rPr>
              <w:t xml:space="preserve">. La glycémie pourra être contrôlée à la baisse. </w:t>
            </w:r>
          </w:p>
          <w:p w14:paraId="267F6669" w14:textId="6CD746F2" w:rsidR="00FF5DEF" w:rsidRDefault="00701FC0">
            <w:pPr>
              <w:pStyle w:val="normal0"/>
              <w:numPr>
                <w:ilvl w:val="0"/>
                <w:numId w:val="1"/>
              </w:numPr>
              <w:spacing w:before="100" w:after="100" w:line="240" w:lineRule="auto"/>
              <w:ind w:left="340" w:hanging="360"/>
              <w:contextualSpacing/>
              <w:rPr>
                <w:rFonts w:ascii="Comic Sans MS" w:eastAsia="Comic Sans MS" w:hAnsi="Comic Sans MS" w:cs="Comic Sans MS"/>
              </w:rPr>
            </w:pPr>
            <w:r>
              <w:rPr>
                <w:rFonts w:ascii="Comic Sans MS" w:eastAsia="Comic Sans MS" w:hAnsi="Comic Sans MS" w:cs="Comic Sans MS"/>
              </w:rPr>
              <w:t>Cependant, l'activité enzymatique ne peut pas être nulle. Il faudra contrôler l'apport en amidon de l'alimentation afin de limiter les apports en glucose i</w:t>
            </w:r>
            <w:r w:rsidR="006B5FD0">
              <w:rPr>
                <w:rFonts w:ascii="Comic Sans MS" w:eastAsia="Comic Sans MS" w:hAnsi="Comic Sans MS" w:cs="Comic Sans MS"/>
              </w:rPr>
              <w:t>ssus de l'activité de l’amylase.</w:t>
            </w:r>
          </w:p>
          <w:p w14:paraId="008885CB" w14:textId="70D0BD3D" w:rsidR="00FF5DEF" w:rsidRDefault="00701FC0">
            <w:pPr>
              <w:pStyle w:val="normal0"/>
              <w:numPr>
                <w:ilvl w:val="0"/>
                <w:numId w:val="1"/>
              </w:numPr>
              <w:spacing w:before="100" w:after="100" w:line="240" w:lineRule="auto"/>
              <w:ind w:left="340" w:hanging="360"/>
              <w:contextualSpacing/>
              <w:rPr>
                <w:rFonts w:ascii="Comic Sans MS" w:eastAsia="Comic Sans MS" w:hAnsi="Comic Sans MS" w:cs="Comic Sans MS"/>
              </w:rPr>
            </w:pPr>
            <w:r>
              <w:rPr>
                <w:rFonts w:ascii="Comic Sans MS" w:eastAsia="Comic Sans MS" w:hAnsi="Comic Sans MS" w:cs="Comic Sans MS"/>
              </w:rPr>
              <w:lastRenderedPageBreak/>
              <w:t>l’ordre choisi est annoncé et justifié</w:t>
            </w:r>
            <w:r w:rsidR="006B5FD0">
              <w:rPr>
                <w:rFonts w:ascii="Comic Sans MS" w:eastAsia="Comic Sans MS" w:hAnsi="Comic Sans MS" w:cs="Comic Sans MS"/>
              </w:rPr>
              <w:t xml:space="preserve"> dans l'introduction.</w:t>
            </w:r>
          </w:p>
        </w:tc>
      </w:tr>
    </w:tbl>
    <w:p w14:paraId="4E59A7CC" w14:textId="77777777" w:rsidR="00FF5DEF" w:rsidRDefault="00FF5DEF">
      <w:pPr>
        <w:pStyle w:val="normal0"/>
      </w:pPr>
    </w:p>
    <w:p w14:paraId="6087194F" w14:textId="77777777" w:rsidR="00FF5DEF" w:rsidRDefault="00701FC0">
      <w:pPr>
        <w:pStyle w:val="normal0"/>
      </w:pPr>
      <w:r>
        <w:rPr>
          <w:noProof/>
        </w:rPr>
        <w:drawing>
          <wp:inline distT="114300" distB="114300" distL="114300" distR="114300" wp14:anchorId="4BCF7028" wp14:editId="700E99AD">
            <wp:extent cx="5943600" cy="3302000"/>
            <wp:effectExtent l="0" t="0" r="0" b="0"/>
            <wp:docPr id="1" name="image01.png" descr="barème partie II-2"/>
            <wp:cNvGraphicFramePr/>
            <a:graphic xmlns:a="http://schemas.openxmlformats.org/drawingml/2006/main">
              <a:graphicData uri="http://schemas.openxmlformats.org/drawingml/2006/picture">
                <pic:pic xmlns:pic="http://schemas.openxmlformats.org/drawingml/2006/picture">
                  <pic:nvPicPr>
                    <pic:cNvPr id="0" name="image01.png" descr="barème partie II-2"/>
                    <pic:cNvPicPr preferRelativeResize="0"/>
                  </pic:nvPicPr>
                  <pic:blipFill>
                    <a:blip r:embed="rId9"/>
                    <a:srcRect/>
                    <a:stretch>
                      <a:fillRect/>
                    </a:stretch>
                  </pic:blipFill>
                  <pic:spPr>
                    <a:xfrm>
                      <a:off x="0" y="0"/>
                      <a:ext cx="5943600" cy="3302000"/>
                    </a:xfrm>
                    <a:prstGeom prst="rect">
                      <a:avLst/>
                    </a:prstGeom>
                    <a:ln/>
                  </pic:spPr>
                </pic:pic>
              </a:graphicData>
            </a:graphic>
          </wp:inline>
        </w:drawing>
      </w:r>
    </w:p>
    <w:p w14:paraId="39E2C5EA" w14:textId="77777777" w:rsidR="00FF5DEF" w:rsidRDefault="00FF5DEF">
      <w:pPr>
        <w:pStyle w:val="normal0"/>
      </w:pPr>
    </w:p>
    <w:sectPr w:rsidR="00FF5DEF" w:rsidSect="00701FC0">
      <w:headerReference w:type="even" r:id="rId10"/>
      <w:headerReference w:type="default" r:id="rId11"/>
      <w:pgSz w:w="12240" w:h="15840"/>
      <w:pgMar w:top="1133" w:right="1133" w:bottom="1133" w:left="1133" w:header="284"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1126F" w14:textId="77777777" w:rsidR="00701FC0" w:rsidRDefault="00701FC0" w:rsidP="00701FC0">
      <w:pPr>
        <w:spacing w:line="240" w:lineRule="auto"/>
      </w:pPr>
      <w:r>
        <w:separator/>
      </w:r>
    </w:p>
  </w:endnote>
  <w:endnote w:type="continuationSeparator" w:id="0">
    <w:p w14:paraId="77E2E8B6" w14:textId="77777777" w:rsidR="00701FC0" w:rsidRDefault="00701FC0" w:rsidP="00701F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2A784E" w14:textId="77777777" w:rsidR="00701FC0" w:rsidRDefault="00701FC0" w:rsidP="00701FC0">
      <w:pPr>
        <w:spacing w:line="240" w:lineRule="auto"/>
      </w:pPr>
      <w:r>
        <w:separator/>
      </w:r>
    </w:p>
  </w:footnote>
  <w:footnote w:type="continuationSeparator" w:id="0">
    <w:p w14:paraId="352C5C3E" w14:textId="77777777" w:rsidR="00701FC0" w:rsidRDefault="00701FC0" w:rsidP="00701FC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307"/>
      <w:gridCol w:w="1672"/>
      <w:gridCol w:w="4083"/>
    </w:tblGrid>
    <w:tr w:rsidR="00701FC0" w:rsidRPr="008E0D90" w14:paraId="5FA9ACF2" w14:textId="77777777" w:rsidTr="008E0D90">
      <w:trPr>
        <w:trHeight w:val="151"/>
      </w:trPr>
      <w:tc>
        <w:tcPr>
          <w:tcW w:w="2389" w:type="pct"/>
          <w:tcBorders>
            <w:top w:val="nil"/>
            <w:left w:val="nil"/>
            <w:bottom w:val="single" w:sz="4" w:space="0" w:color="4F81BD" w:themeColor="accent1"/>
            <w:right w:val="nil"/>
          </w:tcBorders>
        </w:tcPr>
        <w:p w14:paraId="306F3E78" w14:textId="77777777" w:rsidR="00701FC0" w:rsidRDefault="00701FC0">
          <w:pPr>
            <w:pStyle w:val="En-tte"/>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36BC5810" w14:textId="77777777" w:rsidR="00701FC0" w:rsidRDefault="00991ED8">
          <w:pPr>
            <w:pStyle w:val="Sansinterligne"/>
            <w:rPr>
              <w:rFonts w:ascii="Cambria" w:hAnsi="Cambria"/>
              <w:color w:val="4F81BD" w:themeColor="accent1"/>
              <w:szCs w:val="20"/>
            </w:rPr>
          </w:pPr>
          <w:sdt>
            <w:sdtPr>
              <w:rPr>
                <w:rFonts w:ascii="Cambria" w:hAnsi="Cambria"/>
                <w:color w:val="4F81BD" w:themeColor="accent1"/>
              </w:rPr>
              <w:id w:val="95367809"/>
              <w:placeholder>
                <w:docPart w:val="7082EAD485B94C428437869A913CAF9A"/>
              </w:placeholder>
              <w:temporary/>
              <w:showingPlcHdr/>
            </w:sdtPr>
            <w:sdtEndPr/>
            <w:sdtContent>
              <w:r w:rsidR="00701FC0">
                <w:rPr>
                  <w:rFonts w:ascii="Cambria" w:hAnsi="Cambria"/>
                  <w:color w:val="4F81BD" w:themeColor="accent1"/>
                </w:rPr>
                <w:t>[Tapez le texte]</w:t>
              </w:r>
            </w:sdtContent>
          </w:sdt>
        </w:p>
      </w:tc>
      <w:tc>
        <w:tcPr>
          <w:tcW w:w="2278" w:type="pct"/>
          <w:tcBorders>
            <w:top w:val="nil"/>
            <w:left w:val="nil"/>
            <w:bottom w:val="single" w:sz="4" w:space="0" w:color="4F81BD" w:themeColor="accent1"/>
            <w:right w:val="nil"/>
          </w:tcBorders>
        </w:tcPr>
        <w:p w14:paraId="728B28D0" w14:textId="77777777" w:rsidR="00701FC0" w:rsidRDefault="00701FC0">
          <w:pPr>
            <w:pStyle w:val="En-tte"/>
            <w:spacing w:line="276" w:lineRule="auto"/>
            <w:rPr>
              <w:rFonts w:ascii="Cambria" w:eastAsiaTheme="majorEastAsia" w:hAnsi="Cambria" w:cstheme="majorBidi"/>
              <w:b/>
              <w:bCs/>
              <w:color w:val="4F81BD" w:themeColor="accent1"/>
            </w:rPr>
          </w:pPr>
        </w:p>
      </w:tc>
    </w:tr>
    <w:tr w:rsidR="00701FC0" w:rsidRPr="008E0D90" w14:paraId="60875F35" w14:textId="77777777" w:rsidTr="008E0D90">
      <w:trPr>
        <w:trHeight w:val="150"/>
      </w:trPr>
      <w:tc>
        <w:tcPr>
          <w:tcW w:w="2389" w:type="pct"/>
          <w:tcBorders>
            <w:top w:val="single" w:sz="4" w:space="0" w:color="4F81BD" w:themeColor="accent1"/>
            <w:left w:val="nil"/>
            <w:bottom w:val="nil"/>
            <w:right w:val="nil"/>
          </w:tcBorders>
        </w:tcPr>
        <w:p w14:paraId="0B5CA3A6" w14:textId="77777777" w:rsidR="00701FC0" w:rsidRDefault="00701FC0">
          <w:pPr>
            <w:pStyle w:val="En-tte"/>
            <w:spacing w:line="276" w:lineRule="auto"/>
            <w:rPr>
              <w:rFonts w:ascii="Cambria" w:eastAsiaTheme="majorEastAsia" w:hAnsi="Cambria" w:cstheme="majorBidi"/>
              <w:b/>
              <w:bCs/>
              <w:color w:val="4F81BD" w:themeColor="accent1"/>
            </w:rPr>
          </w:pPr>
        </w:p>
      </w:tc>
      <w:tc>
        <w:tcPr>
          <w:tcW w:w="0" w:type="auto"/>
          <w:vMerge/>
          <w:vAlign w:val="center"/>
          <w:hideMark/>
        </w:tcPr>
        <w:p w14:paraId="7BFEC1B6" w14:textId="77777777" w:rsidR="00701FC0" w:rsidRDefault="00701FC0">
          <w:pPr>
            <w:spacing w:line="240" w:lineRule="auto"/>
            <w:rPr>
              <w:rFonts w:ascii="Cambria" w:hAnsi="Cambria"/>
              <w:color w:val="4F81BD" w:themeColor="accent1"/>
            </w:rPr>
          </w:pPr>
        </w:p>
      </w:tc>
      <w:tc>
        <w:tcPr>
          <w:tcW w:w="2278" w:type="pct"/>
          <w:tcBorders>
            <w:top w:val="single" w:sz="4" w:space="0" w:color="4F81BD" w:themeColor="accent1"/>
            <w:left w:val="nil"/>
            <w:bottom w:val="nil"/>
            <w:right w:val="nil"/>
          </w:tcBorders>
        </w:tcPr>
        <w:p w14:paraId="775A5BF9" w14:textId="77777777" w:rsidR="00701FC0" w:rsidRDefault="00701FC0">
          <w:pPr>
            <w:pStyle w:val="En-tte"/>
            <w:spacing w:line="276" w:lineRule="auto"/>
            <w:rPr>
              <w:rFonts w:ascii="Cambria" w:eastAsiaTheme="majorEastAsia" w:hAnsi="Cambria" w:cstheme="majorBidi"/>
              <w:b/>
              <w:bCs/>
              <w:color w:val="4F81BD" w:themeColor="accent1"/>
            </w:rPr>
          </w:pPr>
        </w:p>
      </w:tc>
    </w:tr>
  </w:tbl>
  <w:p w14:paraId="445C68EB" w14:textId="77777777" w:rsidR="00701FC0" w:rsidRDefault="00701FC0">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2479"/>
      <w:gridCol w:w="5328"/>
      <w:gridCol w:w="2255"/>
    </w:tblGrid>
    <w:tr w:rsidR="00701FC0" w:rsidRPr="008E0D90" w14:paraId="5B7B71BA" w14:textId="77777777" w:rsidTr="008E0D90">
      <w:trPr>
        <w:trHeight w:val="151"/>
      </w:trPr>
      <w:tc>
        <w:tcPr>
          <w:tcW w:w="2389" w:type="pct"/>
          <w:tcBorders>
            <w:top w:val="nil"/>
            <w:left w:val="nil"/>
            <w:bottom w:val="single" w:sz="4" w:space="0" w:color="4F81BD" w:themeColor="accent1"/>
            <w:right w:val="nil"/>
          </w:tcBorders>
        </w:tcPr>
        <w:p w14:paraId="1A55AA94" w14:textId="77777777" w:rsidR="00701FC0" w:rsidRDefault="00701FC0">
          <w:pPr>
            <w:pStyle w:val="En-tte"/>
            <w:spacing w:line="276" w:lineRule="auto"/>
            <w:rPr>
              <w:rFonts w:ascii="Cambria" w:eastAsiaTheme="majorEastAsia" w:hAnsi="Cambria" w:cstheme="majorBidi"/>
              <w:b/>
              <w:bCs/>
              <w:color w:val="4F81BD" w:themeColor="accent1"/>
            </w:rPr>
          </w:pPr>
          <w:r>
            <w:rPr>
              <w:rFonts w:ascii="Cambria" w:eastAsiaTheme="majorEastAsia" w:hAnsi="Cambria" w:cstheme="majorBidi"/>
              <w:b/>
              <w:bCs/>
              <w:color w:val="4F81BD" w:themeColor="accent1"/>
            </w:rPr>
            <w:t>Terminale</w:t>
          </w:r>
        </w:p>
      </w:tc>
      <w:tc>
        <w:tcPr>
          <w:tcW w:w="333" w:type="pct"/>
          <w:vMerge w:val="restart"/>
          <w:noWrap/>
          <w:vAlign w:val="center"/>
          <w:hideMark/>
        </w:tcPr>
        <w:p w14:paraId="637DAAA8" w14:textId="77777777" w:rsidR="00701FC0" w:rsidRDefault="00701FC0" w:rsidP="00701FC0">
          <w:pPr>
            <w:pStyle w:val="Sansinterligne"/>
            <w:rPr>
              <w:rFonts w:ascii="Cambria" w:hAnsi="Cambria"/>
              <w:color w:val="4F81BD" w:themeColor="accent1"/>
              <w:szCs w:val="20"/>
            </w:rPr>
          </w:pPr>
          <w:r>
            <w:rPr>
              <w:rFonts w:ascii="Cambria" w:hAnsi="Cambria"/>
              <w:color w:val="4F81BD" w:themeColor="accent1"/>
            </w:rPr>
            <w:t>Thème 3) Corps humain et santé: glycémie et diabètes.</w:t>
          </w:r>
        </w:p>
      </w:tc>
      <w:tc>
        <w:tcPr>
          <w:tcW w:w="2278" w:type="pct"/>
          <w:tcBorders>
            <w:top w:val="nil"/>
            <w:left w:val="nil"/>
            <w:bottom w:val="single" w:sz="4" w:space="0" w:color="4F81BD" w:themeColor="accent1"/>
            <w:right w:val="nil"/>
          </w:tcBorders>
        </w:tcPr>
        <w:p w14:paraId="6708E664" w14:textId="4BD04977" w:rsidR="00701FC0" w:rsidRDefault="00701FC0" w:rsidP="006B5FD0">
          <w:pPr>
            <w:pStyle w:val="En-tte"/>
            <w:spacing w:line="276" w:lineRule="auto"/>
            <w:jc w:val="right"/>
            <w:rPr>
              <w:rFonts w:ascii="Cambria" w:eastAsiaTheme="majorEastAsia" w:hAnsi="Cambria" w:cstheme="majorBidi"/>
              <w:b/>
              <w:bCs/>
              <w:color w:val="4F81BD" w:themeColor="accent1"/>
            </w:rPr>
          </w:pPr>
          <w:r>
            <w:rPr>
              <w:rFonts w:ascii="Cambria" w:eastAsiaTheme="majorEastAsia" w:hAnsi="Cambria" w:cstheme="majorBidi"/>
              <w:b/>
              <w:bCs/>
              <w:color w:val="4F81BD" w:themeColor="accent1"/>
            </w:rPr>
            <w:t xml:space="preserve">Exercice </w:t>
          </w:r>
          <w:r w:rsidR="006B5FD0">
            <w:rPr>
              <w:rFonts w:ascii="Cambria" w:eastAsiaTheme="majorEastAsia" w:hAnsi="Cambria" w:cstheme="majorBidi"/>
              <w:b/>
              <w:bCs/>
              <w:color w:val="4F81BD" w:themeColor="accent1"/>
            </w:rPr>
            <w:t>spécialité</w:t>
          </w:r>
        </w:p>
      </w:tc>
    </w:tr>
    <w:tr w:rsidR="00701FC0" w:rsidRPr="008E0D90" w14:paraId="47F6A897" w14:textId="77777777" w:rsidTr="008E0D90">
      <w:trPr>
        <w:trHeight w:val="150"/>
      </w:trPr>
      <w:tc>
        <w:tcPr>
          <w:tcW w:w="2389" w:type="pct"/>
          <w:tcBorders>
            <w:top w:val="single" w:sz="4" w:space="0" w:color="4F81BD" w:themeColor="accent1"/>
            <w:left w:val="nil"/>
            <w:bottom w:val="nil"/>
            <w:right w:val="nil"/>
          </w:tcBorders>
        </w:tcPr>
        <w:p w14:paraId="29C6DFE3" w14:textId="77777777" w:rsidR="00701FC0" w:rsidRDefault="00701FC0">
          <w:pPr>
            <w:pStyle w:val="En-tte"/>
            <w:spacing w:line="276" w:lineRule="auto"/>
            <w:rPr>
              <w:rFonts w:ascii="Cambria" w:eastAsiaTheme="majorEastAsia" w:hAnsi="Cambria" w:cstheme="majorBidi"/>
              <w:b/>
              <w:bCs/>
              <w:color w:val="4F81BD" w:themeColor="accent1"/>
            </w:rPr>
          </w:pPr>
          <w:r>
            <w:rPr>
              <w:rFonts w:ascii="Cambria" w:eastAsiaTheme="majorEastAsia" w:hAnsi="Cambria" w:cstheme="majorBidi"/>
              <w:b/>
              <w:bCs/>
              <w:color w:val="4F81BD" w:themeColor="accent1"/>
            </w:rPr>
            <w:t>Spécialité</w:t>
          </w:r>
        </w:p>
      </w:tc>
      <w:tc>
        <w:tcPr>
          <w:tcW w:w="0" w:type="auto"/>
          <w:vMerge/>
          <w:vAlign w:val="center"/>
          <w:hideMark/>
        </w:tcPr>
        <w:p w14:paraId="4D87CFD8" w14:textId="77777777" w:rsidR="00701FC0" w:rsidRDefault="00701FC0">
          <w:pPr>
            <w:spacing w:line="240" w:lineRule="auto"/>
            <w:rPr>
              <w:rFonts w:ascii="Cambria" w:hAnsi="Cambria"/>
              <w:color w:val="4F81BD" w:themeColor="accent1"/>
            </w:rPr>
          </w:pPr>
        </w:p>
      </w:tc>
      <w:tc>
        <w:tcPr>
          <w:tcW w:w="2278" w:type="pct"/>
          <w:tcBorders>
            <w:top w:val="single" w:sz="4" w:space="0" w:color="4F81BD" w:themeColor="accent1"/>
            <w:left w:val="nil"/>
            <w:bottom w:val="nil"/>
            <w:right w:val="nil"/>
          </w:tcBorders>
        </w:tcPr>
        <w:p w14:paraId="6E3D7D23" w14:textId="77777777" w:rsidR="00701FC0" w:rsidRDefault="00701FC0" w:rsidP="00701FC0">
          <w:pPr>
            <w:pStyle w:val="En-tte"/>
            <w:spacing w:line="276" w:lineRule="auto"/>
            <w:jc w:val="right"/>
            <w:rPr>
              <w:rFonts w:ascii="Cambria" w:eastAsiaTheme="majorEastAsia" w:hAnsi="Cambria" w:cstheme="majorBidi"/>
              <w:b/>
              <w:bCs/>
              <w:color w:val="4F81BD" w:themeColor="accent1"/>
            </w:rPr>
          </w:pPr>
          <w:r>
            <w:rPr>
              <w:rFonts w:ascii="Cambria" w:eastAsiaTheme="majorEastAsia" w:hAnsi="Cambria" w:cstheme="majorBidi"/>
              <w:b/>
              <w:bCs/>
              <w:color w:val="4F81BD" w:themeColor="accent1"/>
            </w:rPr>
            <w:t>corrigé</w:t>
          </w:r>
        </w:p>
      </w:tc>
    </w:tr>
  </w:tbl>
  <w:p w14:paraId="5CAE92E1" w14:textId="77777777" w:rsidR="00701FC0" w:rsidRDefault="00701FC0">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23A83"/>
    <w:multiLevelType w:val="multilevel"/>
    <w:tmpl w:val="096611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FC8025C"/>
    <w:multiLevelType w:val="multilevel"/>
    <w:tmpl w:val="74B2375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FF5DEF"/>
    <w:rsid w:val="006B5FD0"/>
    <w:rsid w:val="00701FC0"/>
    <w:rsid w:val="00991ED8"/>
    <w:rsid w:val="00D37DD3"/>
    <w:rsid w:val="00DF38D7"/>
    <w:rsid w:val="00FF5DE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78585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contextualSpacing/>
    </w:pPr>
    <w:rPr>
      <w:rFonts w:ascii="Trebuchet MS" w:eastAsia="Trebuchet MS" w:hAnsi="Trebuchet MS" w:cs="Trebuchet MS"/>
      <w:sz w:val="42"/>
      <w:szCs w:val="42"/>
    </w:rPr>
  </w:style>
  <w:style w:type="paragraph" w:styleId="Sous-titr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37DD3"/>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37DD3"/>
    <w:rPr>
      <w:rFonts w:ascii="Lucida Grande" w:hAnsi="Lucida Grande" w:cs="Lucida Grande"/>
      <w:sz w:val="18"/>
      <w:szCs w:val="18"/>
    </w:rPr>
  </w:style>
  <w:style w:type="paragraph" w:styleId="En-tte">
    <w:name w:val="header"/>
    <w:basedOn w:val="Normal"/>
    <w:link w:val="En-tteCar"/>
    <w:uiPriority w:val="99"/>
    <w:unhideWhenUsed/>
    <w:rsid w:val="00701FC0"/>
    <w:pPr>
      <w:tabs>
        <w:tab w:val="center" w:pos="4536"/>
        <w:tab w:val="right" w:pos="9072"/>
      </w:tabs>
      <w:spacing w:line="240" w:lineRule="auto"/>
    </w:pPr>
  </w:style>
  <w:style w:type="character" w:customStyle="1" w:styleId="En-tteCar">
    <w:name w:val="En-tête Car"/>
    <w:basedOn w:val="Policepardfaut"/>
    <w:link w:val="En-tte"/>
    <w:uiPriority w:val="99"/>
    <w:rsid w:val="00701FC0"/>
  </w:style>
  <w:style w:type="paragraph" w:styleId="Pieddepage">
    <w:name w:val="footer"/>
    <w:basedOn w:val="Normal"/>
    <w:link w:val="PieddepageCar"/>
    <w:uiPriority w:val="99"/>
    <w:unhideWhenUsed/>
    <w:rsid w:val="00701FC0"/>
    <w:pPr>
      <w:tabs>
        <w:tab w:val="center" w:pos="4536"/>
        <w:tab w:val="right" w:pos="9072"/>
      </w:tabs>
      <w:spacing w:line="240" w:lineRule="auto"/>
    </w:pPr>
  </w:style>
  <w:style w:type="character" w:customStyle="1" w:styleId="PieddepageCar">
    <w:name w:val="Pied de page Car"/>
    <w:basedOn w:val="Policepardfaut"/>
    <w:link w:val="Pieddepage"/>
    <w:uiPriority w:val="99"/>
    <w:rsid w:val="00701FC0"/>
  </w:style>
  <w:style w:type="paragraph" w:styleId="Sansinterligne">
    <w:name w:val="No Spacing"/>
    <w:link w:val="SansinterligneCar"/>
    <w:qFormat/>
    <w:rsid w:val="00701FC0"/>
    <w:pPr>
      <w:spacing w:line="240" w:lineRule="auto"/>
    </w:pPr>
    <w:rPr>
      <w:rFonts w:ascii="PMingLiU" w:eastAsiaTheme="minorEastAsia" w:hAnsi="PMingLiU" w:cstheme="minorBidi"/>
      <w:color w:val="auto"/>
    </w:rPr>
  </w:style>
  <w:style w:type="character" w:customStyle="1" w:styleId="SansinterligneCar">
    <w:name w:val="Sans interligne Car"/>
    <w:basedOn w:val="Policepardfaut"/>
    <w:link w:val="Sansinterligne"/>
    <w:rsid w:val="00701FC0"/>
    <w:rPr>
      <w:rFonts w:ascii="PMingLiU" w:eastAsiaTheme="minorEastAsia" w:hAnsi="PMingLiU" w:cstheme="minorBidi"/>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fr-FR" w:eastAsia="fr-FR"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0"/>
    <w:next w:val="normal0"/>
    <w:pPr>
      <w:keepNext/>
      <w:keepLines/>
      <w:spacing w:before="200"/>
      <w:contextualSpacing/>
      <w:outlineLvl w:val="0"/>
    </w:pPr>
    <w:rPr>
      <w:rFonts w:ascii="Trebuchet MS" w:eastAsia="Trebuchet MS" w:hAnsi="Trebuchet MS" w:cs="Trebuchet MS"/>
      <w:sz w:val="32"/>
      <w:szCs w:val="32"/>
    </w:rPr>
  </w:style>
  <w:style w:type="paragraph" w:styleId="Titre2">
    <w:name w:val="heading 2"/>
    <w:basedOn w:val="normal0"/>
    <w:next w:val="normal0"/>
    <w:pPr>
      <w:keepNext/>
      <w:keepLines/>
      <w:spacing w:before="200"/>
      <w:contextualSpacing/>
      <w:outlineLvl w:val="1"/>
    </w:pPr>
    <w:rPr>
      <w:rFonts w:ascii="Trebuchet MS" w:eastAsia="Trebuchet MS" w:hAnsi="Trebuchet MS" w:cs="Trebuchet MS"/>
      <w:b/>
      <w:sz w:val="26"/>
      <w:szCs w:val="26"/>
    </w:rPr>
  </w:style>
  <w:style w:type="paragraph" w:styleId="Titre3">
    <w:name w:val="heading 3"/>
    <w:basedOn w:val="normal0"/>
    <w:next w:val="normal0"/>
    <w:pPr>
      <w:keepNext/>
      <w:keepLines/>
      <w:spacing w:before="160"/>
      <w:contextualSpacing/>
      <w:outlineLvl w:val="2"/>
    </w:pPr>
    <w:rPr>
      <w:rFonts w:ascii="Trebuchet MS" w:eastAsia="Trebuchet MS" w:hAnsi="Trebuchet MS" w:cs="Trebuchet MS"/>
      <w:b/>
      <w:color w:val="666666"/>
      <w:sz w:val="24"/>
      <w:szCs w:val="24"/>
    </w:rPr>
  </w:style>
  <w:style w:type="paragraph" w:styleId="Titre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Titre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Titre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0">
    <w:name w:val="normal"/>
  </w:style>
  <w:style w:type="table" w:customStyle="1" w:styleId="TableNormal">
    <w:name w:val="Table Normal"/>
    <w:tblPr>
      <w:tblCellMar>
        <w:top w:w="0" w:type="dxa"/>
        <w:left w:w="0" w:type="dxa"/>
        <w:bottom w:w="0" w:type="dxa"/>
        <w:right w:w="0" w:type="dxa"/>
      </w:tblCellMar>
    </w:tblPr>
  </w:style>
  <w:style w:type="paragraph" w:styleId="Titre">
    <w:name w:val="Title"/>
    <w:basedOn w:val="normal0"/>
    <w:next w:val="normal0"/>
    <w:pPr>
      <w:keepNext/>
      <w:keepLines/>
      <w:contextualSpacing/>
    </w:pPr>
    <w:rPr>
      <w:rFonts w:ascii="Trebuchet MS" w:eastAsia="Trebuchet MS" w:hAnsi="Trebuchet MS" w:cs="Trebuchet MS"/>
      <w:sz w:val="42"/>
      <w:szCs w:val="42"/>
    </w:rPr>
  </w:style>
  <w:style w:type="paragraph" w:styleId="Sous-titre">
    <w:name w:val="Subtitle"/>
    <w:basedOn w:val="normal0"/>
    <w:next w:val="normal0"/>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D37DD3"/>
    <w:pPr>
      <w:spacing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37DD3"/>
    <w:rPr>
      <w:rFonts w:ascii="Lucida Grande" w:hAnsi="Lucida Grande" w:cs="Lucida Grande"/>
      <w:sz w:val="18"/>
      <w:szCs w:val="18"/>
    </w:rPr>
  </w:style>
  <w:style w:type="paragraph" w:styleId="En-tte">
    <w:name w:val="header"/>
    <w:basedOn w:val="Normal"/>
    <w:link w:val="En-tteCar"/>
    <w:uiPriority w:val="99"/>
    <w:unhideWhenUsed/>
    <w:rsid w:val="00701FC0"/>
    <w:pPr>
      <w:tabs>
        <w:tab w:val="center" w:pos="4536"/>
        <w:tab w:val="right" w:pos="9072"/>
      </w:tabs>
      <w:spacing w:line="240" w:lineRule="auto"/>
    </w:pPr>
  </w:style>
  <w:style w:type="character" w:customStyle="1" w:styleId="En-tteCar">
    <w:name w:val="En-tête Car"/>
    <w:basedOn w:val="Policepardfaut"/>
    <w:link w:val="En-tte"/>
    <w:uiPriority w:val="99"/>
    <w:rsid w:val="00701FC0"/>
  </w:style>
  <w:style w:type="paragraph" w:styleId="Pieddepage">
    <w:name w:val="footer"/>
    <w:basedOn w:val="Normal"/>
    <w:link w:val="PieddepageCar"/>
    <w:uiPriority w:val="99"/>
    <w:unhideWhenUsed/>
    <w:rsid w:val="00701FC0"/>
    <w:pPr>
      <w:tabs>
        <w:tab w:val="center" w:pos="4536"/>
        <w:tab w:val="right" w:pos="9072"/>
      </w:tabs>
      <w:spacing w:line="240" w:lineRule="auto"/>
    </w:pPr>
  </w:style>
  <w:style w:type="character" w:customStyle="1" w:styleId="PieddepageCar">
    <w:name w:val="Pied de page Car"/>
    <w:basedOn w:val="Policepardfaut"/>
    <w:link w:val="Pieddepage"/>
    <w:uiPriority w:val="99"/>
    <w:rsid w:val="00701FC0"/>
  </w:style>
  <w:style w:type="paragraph" w:styleId="Sansinterligne">
    <w:name w:val="No Spacing"/>
    <w:link w:val="SansinterligneCar"/>
    <w:qFormat/>
    <w:rsid w:val="00701FC0"/>
    <w:pPr>
      <w:spacing w:line="240" w:lineRule="auto"/>
    </w:pPr>
    <w:rPr>
      <w:rFonts w:ascii="PMingLiU" w:eastAsiaTheme="minorEastAsia" w:hAnsi="PMingLiU" w:cstheme="minorBidi"/>
      <w:color w:val="auto"/>
    </w:rPr>
  </w:style>
  <w:style w:type="character" w:customStyle="1" w:styleId="SansinterligneCar">
    <w:name w:val="Sans interligne Car"/>
    <w:basedOn w:val="Policepardfaut"/>
    <w:link w:val="Sansinterligne"/>
    <w:rsid w:val="00701FC0"/>
    <w:rPr>
      <w:rFonts w:ascii="PMingLiU" w:eastAsiaTheme="minorEastAsia" w:hAnsi="PMingLiU"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glossaryDocument" Target="glossary/document.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082EAD485B94C428437869A913CAF9A"/>
        <w:category>
          <w:name w:val="Général"/>
          <w:gallery w:val="placeholder"/>
        </w:category>
        <w:types>
          <w:type w:val="bbPlcHdr"/>
        </w:types>
        <w:behaviors>
          <w:behavior w:val="content"/>
        </w:behaviors>
        <w:guid w:val="{0A22F261-4848-5544-97C4-5254CA742322}"/>
      </w:docPartPr>
      <w:docPartBody>
        <w:p w:rsidR="003332DC" w:rsidRDefault="009F1219" w:rsidP="009F1219">
          <w:pPr>
            <w:pStyle w:val="7082EAD485B94C428437869A913CAF9A"/>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E00002FF" w:usb1="6AC7FDFB" w:usb2="00000012" w:usb3="00000000" w:csb0="0002009F" w:csb1="00000000"/>
  </w:font>
  <w:font w:name="Comic Sans MS">
    <w:panose1 w:val="030F07020303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219"/>
    <w:rsid w:val="003332DC"/>
    <w:rsid w:val="009F121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082EAD485B94C428437869A913CAF9A">
    <w:name w:val="7082EAD485B94C428437869A913CAF9A"/>
    <w:rsid w:val="009F1219"/>
  </w:style>
  <w:style w:type="paragraph" w:customStyle="1" w:styleId="85AD5E03F60EA44A8E9573231B5E3CA4">
    <w:name w:val="85AD5E03F60EA44A8E9573231B5E3CA4"/>
    <w:rsid w:val="009F1219"/>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082EAD485B94C428437869A913CAF9A">
    <w:name w:val="7082EAD485B94C428437869A913CAF9A"/>
    <w:rsid w:val="009F1219"/>
  </w:style>
  <w:style w:type="paragraph" w:customStyle="1" w:styleId="85AD5E03F60EA44A8E9573231B5E3CA4">
    <w:name w:val="85AD5E03F60EA44A8E9573231B5E3CA4"/>
    <w:rsid w:val="009F12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8F295-022B-B64F-8880-9F791FDCD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403</Words>
  <Characters>2221</Characters>
  <Application>Microsoft Macintosh Word</Application>
  <DocSecurity>0</DocSecurity>
  <Lines>18</Lines>
  <Paragraphs>5</Paragraphs>
  <ScaleCrop>false</ScaleCrop>
  <Company/>
  <LinksUpToDate>false</LinksUpToDate>
  <CharactersWithSpaces>2619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Peltier</cp:lastModifiedBy>
  <cp:revision>6</cp:revision>
  <cp:lastPrinted>2018-04-12T16:38:00Z</cp:lastPrinted>
  <dcterms:created xsi:type="dcterms:W3CDTF">2017-02-23T15:25:00Z</dcterms:created>
  <dcterms:modified xsi:type="dcterms:W3CDTF">2018-04-12T16:41:00Z</dcterms:modified>
</cp:coreProperties>
</file>