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06"/>
      </w:tblGrid>
      <w:tr w:rsidR="00C7156D" w:rsidRPr="00C7156D" w14:paraId="3EE4A101" w14:textId="77777777" w:rsidTr="00021E98">
        <w:tc>
          <w:tcPr>
            <w:tcW w:w="5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7F6A5314" w14:textId="77777777" w:rsidR="00C7156D" w:rsidRPr="00C7156D" w:rsidRDefault="00C7156D" w:rsidP="00021E98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C7156D">
              <w:rPr>
                <w:rFonts w:ascii="Arial" w:hAnsi="Arial" w:cs="Arial"/>
                <w:b/>
                <w:bCs/>
                <w:color w:val="BFD3EE"/>
                <w:sz w:val="24"/>
                <w:szCs w:val="24"/>
              </w:rPr>
              <w:t>Thème 2 — Évolution humaine · Chapitre 1 · Activité 7</w:t>
            </w:r>
          </w:p>
          <w:p w14:paraId="2D021F80" w14:textId="77777777" w:rsidR="00C7156D" w:rsidRPr="00C7156D" w:rsidRDefault="00C7156D" w:rsidP="00021E98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C7156D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La transmission non génétique des caractères humains</w:t>
            </w:r>
          </w:p>
          <w:p w14:paraId="457F4771" w14:textId="77777777" w:rsidR="00C7156D" w:rsidRPr="00C7156D" w:rsidRDefault="00C7156D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C7156D">
              <w:rPr>
                <w:rFonts w:ascii="Arial" w:hAnsi="Arial" w:cs="Arial"/>
                <w:i/>
                <w:iCs/>
                <w:color w:val="BFD3EE"/>
                <w:sz w:val="24"/>
                <w:szCs w:val="24"/>
              </w:rPr>
              <w:t>Durée indicative : 45 min · Étude documentaire</w:t>
            </w:r>
          </w:p>
        </w:tc>
      </w:tr>
    </w:tbl>
    <w:p w14:paraId="64016CDE" w14:textId="77777777" w:rsidR="00C7156D" w:rsidRPr="00C7156D" w:rsidRDefault="00C7156D" w:rsidP="00C7156D">
      <w:pPr>
        <w:pStyle w:val="Titre2"/>
        <w:pBdr>
          <w:bottom w:val="single" w:sz="6" w:space="2" w:color="2E5395"/>
        </w:pBdr>
        <w:spacing w:before="260" w:after="120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b/>
          <w:bCs/>
          <w:color w:val="1F3864"/>
          <w:sz w:val="24"/>
          <w:szCs w:val="24"/>
        </w:rPr>
        <w:t>Contexte</w:t>
      </w:r>
    </w:p>
    <w:p w14:paraId="25BA61C2" w14:textId="77777777" w:rsidR="00C7156D" w:rsidRDefault="00C7156D" w:rsidP="00C7156D">
      <w:pPr>
        <w:spacing w:after="120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sz w:val="24"/>
          <w:szCs w:val="24"/>
        </w:rPr>
        <w:t>Avec la diversification de la lignée humaine, les pratiques alimentaires et le langage se sont considérablement enrichis et diffusés à travers le monde. Ces caractères ne relèvent cependant pas d'une transmission génétique.</w:t>
      </w:r>
    </w:p>
    <w:p w14:paraId="49388B47" w14:textId="55151939" w:rsidR="005148F9" w:rsidRPr="00C7156D" w:rsidRDefault="00FA55E7" w:rsidP="00C7156D">
      <w:pPr>
        <w:spacing w:after="120"/>
        <w:rPr>
          <w:rFonts w:ascii="Arial" w:hAnsi="Arial" w:cs="Arial"/>
          <w:sz w:val="24"/>
          <w:szCs w:val="24"/>
        </w:rPr>
      </w:pPr>
      <w:r w:rsidRPr="00FA55E7">
        <w:rPr>
          <w:rFonts w:ascii="Arial" w:hAnsi="Arial" w:cs="Arial"/>
          <w:sz w:val="24"/>
          <w:szCs w:val="24"/>
        </w:rPr>
        <w:drawing>
          <wp:inline distT="0" distB="0" distL="0" distR="0" wp14:anchorId="257594AC" wp14:editId="5A22E7BF">
            <wp:extent cx="6417310" cy="3025140"/>
            <wp:effectExtent l="0" t="0" r="2540" b="3810"/>
            <wp:docPr id="196953002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3002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731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51289" w14:textId="77777777" w:rsidR="00C7156D" w:rsidRPr="00C7156D" w:rsidRDefault="00C7156D" w:rsidP="00C7156D">
      <w:pPr>
        <w:spacing w:before="160" w:after="80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b/>
          <w:bCs/>
          <w:color w:val="2E5395"/>
          <w:sz w:val="24"/>
          <w:szCs w:val="24"/>
        </w:rPr>
        <w:t>Problématique</w:t>
      </w:r>
    </w:p>
    <w:p w14:paraId="46E5016A" w14:textId="77777777" w:rsidR="00C7156D" w:rsidRPr="00C7156D" w:rsidRDefault="00C7156D" w:rsidP="00C7156D">
      <w:pPr>
        <w:spacing w:after="120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b/>
          <w:bCs/>
          <w:sz w:val="24"/>
          <w:szCs w:val="24"/>
        </w:rPr>
        <w:t>Comment certains caractères se transmettent-ils de manière non génétique ?</w:t>
      </w:r>
    </w:p>
    <w:p w14:paraId="5A740BDC" w14:textId="77777777" w:rsidR="00C7156D" w:rsidRPr="00C7156D" w:rsidRDefault="00C7156D" w:rsidP="00C7156D">
      <w:pPr>
        <w:pStyle w:val="Titre2"/>
        <w:pBdr>
          <w:bottom w:val="single" w:sz="6" w:space="2" w:color="2E5395"/>
        </w:pBdr>
        <w:spacing w:before="260" w:after="120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b/>
          <w:bCs/>
          <w:color w:val="1F3864"/>
          <w:sz w:val="24"/>
          <w:szCs w:val="24"/>
        </w:rPr>
        <w:t>Documents supports</w:t>
      </w:r>
    </w:p>
    <w:p w14:paraId="30F7D449" w14:textId="77777777" w:rsidR="00C7156D" w:rsidRPr="00C7156D" w:rsidRDefault="00C7156D" w:rsidP="00C7156D">
      <w:pPr>
        <w:spacing w:before="160" w:after="80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b/>
          <w:bCs/>
          <w:color w:val="2E5395"/>
          <w:sz w:val="24"/>
          <w:szCs w:val="24"/>
        </w:rPr>
        <w:t>Document 1 — Évolution de l'industrie lithique en Europe au cours du dernier million d'années</w:t>
      </w:r>
    </w:p>
    <w:p w14:paraId="2E97B46F" w14:textId="77777777" w:rsidR="00C7156D" w:rsidRPr="00C7156D" w:rsidRDefault="00C7156D" w:rsidP="00C7156D">
      <w:pPr>
        <w:spacing w:before="100" w:after="60"/>
        <w:jc w:val="center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CBD478B" wp14:editId="34814D76">
            <wp:extent cx="5762625" cy="2162175"/>
            <wp:effectExtent l="0" t="0" r="9525" b="9525"/>
            <wp:docPr id="1802977499" name="Image 1802977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t="15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1DDD8" w14:textId="77777777" w:rsidR="00C7156D" w:rsidRPr="00C7156D" w:rsidRDefault="00C7156D" w:rsidP="00C7156D">
      <w:pPr>
        <w:spacing w:after="200"/>
        <w:jc w:val="center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i/>
          <w:iCs/>
          <w:color w:val="595959"/>
          <w:sz w:val="24"/>
          <w:szCs w:val="24"/>
        </w:rPr>
        <w:t>Doc. 1 : longueur de tranchant obtenue par kg de roche selon les techniques de taille (galets aménagés, bifaces, lames, haches polies), du Paléolithique inférieur au Néolithique. Crédits : lelivrescolaire.fr</w:t>
      </w:r>
    </w:p>
    <w:p w14:paraId="68407A6C" w14:textId="77777777" w:rsidR="00C7156D" w:rsidRDefault="00C7156D" w:rsidP="00C7156D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444F5844" w14:textId="77777777" w:rsidR="00C7156D" w:rsidRDefault="00C7156D" w:rsidP="00C7156D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3AC2115E" w14:textId="77777777" w:rsidR="00C7156D" w:rsidRDefault="00C7156D" w:rsidP="00C7156D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0CF7355A" w14:textId="77777777" w:rsidR="00C7156D" w:rsidRDefault="00C7156D" w:rsidP="00C7156D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1107A123" w14:textId="77777777" w:rsidR="00C7156D" w:rsidRDefault="00C7156D" w:rsidP="00C7156D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3896880A" w14:textId="77777777" w:rsidR="00C7156D" w:rsidRDefault="00C7156D" w:rsidP="00C7156D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18329B7F" w14:textId="77777777" w:rsidR="00C7156D" w:rsidRDefault="00C7156D" w:rsidP="00C7156D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2CA950EF" w14:textId="77777777" w:rsidR="00C7156D" w:rsidRDefault="00C7156D" w:rsidP="00C7156D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76ADF650" w14:textId="77777777" w:rsidR="00C7156D" w:rsidRDefault="00C7156D" w:rsidP="00C7156D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5065CC04" w14:textId="77777777" w:rsidR="00C7156D" w:rsidRDefault="00C7156D" w:rsidP="00C7156D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6D5EB655" w14:textId="77777777" w:rsidR="00C7156D" w:rsidRDefault="00C7156D" w:rsidP="00C7156D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59FC1457" w14:textId="77777777" w:rsidR="00C7156D" w:rsidRDefault="00C7156D" w:rsidP="00C7156D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35D860F1" w14:textId="6585D2FD" w:rsidR="00C7156D" w:rsidRPr="00C7156D" w:rsidRDefault="00C7156D" w:rsidP="00C7156D">
      <w:pPr>
        <w:spacing w:before="160" w:after="80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b/>
          <w:bCs/>
          <w:color w:val="2E5395"/>
          <w:sz w:val="24"/>
          <w:szCs w:val="24"/>
        </w:rPr>
        <w:t>Document 2 — Transmission du microbiote humain</w:t>
      </w:r>
    </w:p>
    <w:p w14:paraId="490BBD3D" w14:textId="77777777" w:rsidR="00C7156D" w:rsidRPr="00C7156D" w:rsidRDefault="00C7156D" w:rsidP="00C7156D">
      <w:pPr>
        <w:spacing w:before="100" w:after="60"/>
        <w:jc w:val="center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9FE6EC6" wp14:editId="7A531231">
            <wp:extent cx="6550025" cy="3942996"/>
            <wp:effectExtent l="0" t="0" r="3175" b="635"/>
            <wp:docPr id="1618114395" name="Image 1618114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t="9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659" cy="3951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67B622" w14:textId="77777777" w:rsidR="00C7156D" w:rsidRPr="00C7156D" w:rsidRDefault="00C7156D" w:rsidP="00C7156D">
      <w:pPr>
        <w:spacing w:after="200"/>
        <w:jc w:val="center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i/>
          <w:iCs/>
          <w:color w:val="595959"/>
          <w:sz w:val="24"/>
          <w:szCs w:val="24"/>
        </w:rPr>
        <w:t>Doc. 2 : proportion de chaque genre de bactéries selon le mode d'acquisition du microbiote (appareil génital de la mère, bébé né par voie basse, peau de la mère, bébé né par césarienne).</w:t>
      </w:r>
    </w:p>
    <w:p w14:paraId="3FC3228C" w14:textId="77777777" w:rsidR="00C7156D" w:rsidRPr="00C7156D" w:rsidRDefault="00C7156D" w:rsidP="00C7156D">
      <w:pPr>
        <w:spacing w:before="160" w:after="80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b/>
          <w:bCs/>
          <w:color w:val="2E5395"/>
          <w:sz w:val="24"/>
          <w:szCs w:val="24"/>
        </w:rPr>
        <w:t>Document 3 — Comparaison des microbiotes entre chasseurs-cueilleurs et humains actuels</w:t>
      </w:r>
    </w:p>
    <w:p w14:paraId="3C1139CA" w14:textId="77777777" w:rsidR="00C7156D" w:rsidRPr="00C7156D" w:rsidRDefault="00C7156D" w:rsidP="00C7156D">
      <w:pPr>
        <w:spacing w:before="100" w:after="60"/>
        <w:jc w:val="center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90D807E" wp14:editId="560733D2">
            <wp:extent cx="3771900" cy="3657600"/>
            <wp:effectExtent l="0" t="0" r="0" b="0"/>
            <wp:docPr id="2088445021" name="Image 2088445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2C78E" w14:textId="77777777" w:rsidR="00C7156D" w:rsidRPr="00C7156D" w:rsidRDefault="00C7156D" w:rsidP="00C7156D">
      <w:pPr>
        <w:spacing w:after="200"/>
        <w:jc w:val="center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i/>
          <w:iCs/>
          <w:color w:val="595959"/>
          <w:sz w:val="24"/>
          <w:szCs w:val="24"/>
        </w:rPr>
        <w:t xml:space="preserve">Doc. 3 : comparaison des microbiotes maternel et de l'enfant pour deux types de naissance, et modification du microbiote dentaire chez </w:t>
      </w:r>
      <w:proofErr w:type="gramStart"/>
      <w:r w:rsidRPr="00C7156D">
        <w:rPr>
          <w:rFonts w:ascii="Arial" w:hAnsi="Arial" w:cs="Arial"/>
          <w:i/>
          <w:iCs/>
          <w:color w:val="595959"/>
          <w:sz w:val="24"/>
          <w:szCs w:val="24"/>
        </w:rPr>
        <w:t>les humains reconstituée</w:t>
      </w:r>
      <w:proofErr w:type="gramEnd"/>
      <w:r w:rsidRPr="00C7156D">
        <w:rPr>
          <w:rFonts w:ascii="Arial" w:hAnsi="Arial" w:cs="Arial"/>
          <w:i/>
          <w:iCs/>
          <w:color w:val="595959"/>
          <w:sz w:val="24"/>
          <w:szCs w:val="24"/>
        </w:rPr>
        <w:t xml:space="preserve"> à partir de dents fossilisées (chasseur-cueilleur du Mésolithique) et actuelles. Crédits : lelivrescolaire.fr</w:t>
      </w:r>
    </w:p>
    <w:p w14:paraId="460E963C" w14:textId="77777777" w:rsidR="00C7156D" w:rsidRPr="00C7156D" w:rsidRDefault="00C7156D" w:rsidP="00C7156D">
      <w:pPr>
        <w:pStyle w:val="Titre2"/>
        <w:pBdr>
          <w:bottom w:val="single" w:sz="6" w:space="2" w:color="2E5395"/>
        </w:pBdr>
        <w:spacing w:before="260" w:after="120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b/>
          <w:bCs/>
          <w:color w:val="1F3864"/>
          <w:sz w:val="24"/>
          <w:szCs w:val="24"/>
        </w:rPr>
        <w:t>Consigne</w:t>
      </w:r>
    </w:p>
    <w:p w14:paraId="38A65B2E" w14:textId="77777777" w:rsidR="00C7156D" w:rsidRPr="00C7156D" w:rsidRDefault="00C7156D" w:rsidP="00C7156D">
      <w:pPr>
        <w:pStyle w:val="Paragraphedeliste"/>
        <w:numPr>
          <w:ilvl w:val="0"/>
          <w:numId w:val="1"/>
        </w:numPr>
        <w:spacing w:after="80"/>
        <w:contextualSpacing w:val="0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sz w:val="24"/>
          <w:szCs w:val="24"/>
        </w:rPr>
        <w:t>Montrer que certains caractères humains se transmettent de façon non génétique, et proposer d'autres caractères de ce type.</w:t>
      </w:r>
    </w:p>
    <w:p w14:paraId="6104D651" w14:textId="77777777" w:rsidR="00C7156D" w:rsidRPr="00C7156D" w:rsidRDefault="00C7156D" w:rsidP="00C7156D">
      <w:pPr>
        <w:pStyle w:val="Titre2"/>
        <w:pBdr>
          <w:bottom w:val="single" w:sz="6" w:space="2" w:color="2E5395"/>
        </w:pBdr>
        <w:spacing w:before="260" w:after="120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b/>
          <w:bCs/>
          <w:color w:val="1F3864"/>
          <w:sz w:val="24"/>
          <w:szCs w:val="24"/>
        </w:rPr>
        <w:t>Compétences travaillées</w:t>
      </w:r>
    </w:p>
    <w:p w14:paraId="119EBCC4" w14:textId="77777777" w:rsidR="00C7156D" w:rsidRPr="00C7156D" w:rsidRDefault="00C7156D" w:rsidP="00C7156D">
      <w:pPr>
        <w:pStyle w:val="Paragraphedeliste"/>
        <w:numPr>
          <w:ilvl w:val="0"/>
          <w:numId w:val="1"/>
        </w:numPr>
        <w:spacing w:after="80"/>
        <w:contextualSpacing w:val="0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sz w:val="24"/>
          <w:szCs w:val="24"/>
        </w:rPr>
        <w:t>Exploiter l'information utile.</w:t>
      </w:r>
    </w:p>
    <w:p w14:paraId="11BC6ECB" w14:textId="77777777" w:rsidR="00C7156D" w:rsidRPr="00C7156D" w:rsidRDefault="00C7156D" w:rsidP="00C7156D">
      <w:pPr>
        <w:pStyle w:val="Paragraphedeliste"/>
        <w:numPr>
          <w:ilvl w:val="0"/>
          <w:numId w:val="1"/>
        </w:numPr>
        <w:spacing w:after="80"/>
        <w:contextualSpacing w:val="0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sz w:val="24"/>
          <w:szCs w:val="24"/>
        </w:rPr>
        <w:t>Raisonner, argumenter scientifiquement.</w:t>
      </w:r>
    </w:p>
    <w:p w14:paraId="04F30F15" w14:textId="77777777" w:rsidR="00C7156D" w:rsidRPr="00C7156D" w:rsidRDefault="00C7156D" w:rsidP="00C7156D">
      <w:pPr>
        <w:pStyle w:val="Titre2"/>
        <w:pBdr>
          <w:bottom w:val="single" w:sz="6" w:space="2" w:color="2E5395"/>
        </w:pBdr>
        <w:spacing w:before="260" w:after="120"/>
        <w:rPr>
          <w:rFonts w:ascii="Arial" w:hAnsi="Arial" w:cs="Arial"/>
          <w:sz w:val="24"/>
          <w:szCs w:val="24"/>
        </w:rPr>
      </w:pPr>
      <w:r w:rsidRPr="00C7156D">
        <w:rPr>
          <w:rFonts w:ascii="Arial" w:hAnsi="Arial" w:cs="Arial"/>
          <w:b/>
          <w:bCs/>
          <w:color w:val="1F3864"/>
          <w:sz w:val="24"/>
          <w:szCs w:val="24"/>
        </w:rPr>
        <w:t>Grille d'évaluation indicative (/20)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75"/>
        <w:gridCol w:w="1121"/>
      </w:tblGrid>
      <w:tr w:rsidR="00C7156D" w:rsidRPr="00C7156D" w14:paraId="730A7D29" w14:textId="77777777" w:rsidTr="00021E98">
        <w:trPr>
          <w:tblHeader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9647FB" w14:textId="77777777" w:rsidR="00C7156D" w:rsidRPr="00C7156D" w:rsidRDefault="00C7156D" w:rsidP="00021E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56D">
              <w:rPr>
                <w:rFonts w:ascii="Arial" w:hAnsi="Arial" w:cs="Arial"/>
                <w:b/>
                <w:bCs/>
                <w:sz w:val="24"/>
                <w:szCs w:val="24"/>
              </w:rPr>
              <w:t>Critère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546098" w14:textId="77777777" w:rsidR="00C7156D" w:rsidRPr="00C7156D" w:rsidRDefault="00C7156D" w:rsidP="00021E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56D">
              <w:rPr>
                <w:rFonts w:ascii="Arial" w:hAnsi="Arial" w:cs="Arial"/>
                <w:b/>
                <w:bCs/>
                <w:sz w:val="24"/>
                <w:szCs w:val="24"/>
              </w:rPr>
              <w:t>Barème</w:t>
            </w:r>
          </w:p>
        </w:tc>
      </w:tr>
      <w:tr w:rsidR="00C7156D" w:rsidRPr="00C7156D" w14:paraId="3217EE2B" w14:textId="77777777" w:rsidTr="00021E98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7074D8" w14:textId="77777777" w:rsidR="00C7156D" w:rsidRPr="00C7156D" w:rsidRDefault="00C7156D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C7156D">
              <w:rPr>
                <w:rFonts w:ascii="Arial" w:hAnsi="Arial" w:cs="Arial"/>
                <w:sz w:val="24"/>
                <w:szCs w:val="24"/>
              </w:rPr>
              <w:t>Mise en évidence de la transmission culturelle des techniques (industrie lithique)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3F727D" w14:textId="77777777" w:rsidR="00C7156D" w:rsidRPr="00C7156D" w:rsidRDefault="00C7156D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C7156D">
              <w:rPr>
                <w:rFonts w:ascii="Arial" w:hAnsi="Arial" w:cs="Arial"/>
                <w:sz w:val="24"/>
                <w:szCs w:val="24"/>
              </w:rPr>
              <w:t>/6</w:t>
            </w:r>
          </w:p>
        </w:tc>
      </w:tr>
      <w:tr w:rsidR="00C7156D" w:rsidRPr="00C7156D" w14:paraId="01D7C9A0" w14:textId="77777777" w:rsidTr="00021E98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18A968" w14:textId="77777777" w:rsidR="00C7156D" w:rsidRPr="00C7156D" w:rsidRDefault="00C7156D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C7156D">
              <w:rPr>
                <w:rFonts w:ascii="Arial" w:hAnsi="Arial" w:cs="Arial"/>
                <w:sz w:val="24"/>
                <w:szCs w:val="24"/>
              </w:rPr>
              <w:t>Mise en évidence de la transmission du microbiote (mode de naissance, alimentation)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27E70D" w14:textId="77777777" w:rsidR="00C7156D" w:rsidRPr="00C7156D" w:rsidRDefault="00C7156D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C7156D">
              <w:rPr>
                <w:rFonts w:ascii="Arial" w:hAnsi="Arial" w:cs="Arial"/>
                <w:sz w:val="24"/>
                <w:szCs w:val="24"/>
              </w:rPr>
              <w:t>/6</w:t>
            </w:r>
          </w:p>
        </w:tc>
      </w:tr>
      <w:tr w:rsidR="00C7156D" w:rsidRPr="00C7156D" w14:paraId="0D53E949" w14:textId="77777777" w:rsidTr="00021E98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5EA1D1" w14:textId="77777777" w:rsidR="00C7156D" w:rsidRPr="00C7156D" w:rsidRDefault="00C7156D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C7156D">
              <w:rPr>
                <w:rFonts w:ascii="Arial" w:hAnsi="Arial" w:cs="Arial"/>
                <w:sz w:val="24"/>
                <w:szCs w:val="24"/>
              </w:rPr>
              <w:t>Proposition argumentée d'autres caractères à transmission non génétique (langage, coutumes...)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72AC97" w14:textId="77777777" w:rsidR="00C7156D" w:rsidRPr="00C7156D" w:rsidRDefault="00C7156D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C7156D">
              <w:rPr>
                <w:rFonts w:ascii="Arial" w:hAnsi="Arial" w:cs="Arial"/>
                <w:sz w:val="24"/>
                <w:szCs w:val="24"/>
              </w:rPr>
              <w:t>/6</w:t>
            </w:r>
          </w:p>
        </w:tc>
      </w:tr>
      <w:tr w:rsidR="00C7156D" w:rsidRPr="00C7156D" w14:paraId="0FE608C9" w14:textId="77777777" w:rsidTr="00021E98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9537C" w14:textId="77777777" w:rsidR="00C7156D" w:rsidRPr="00C7156D" w:rsidRDefault="00C7156D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C7156D">
              <w:rPr>
                <w:rFonts w:ascii="Arial" w:hAnsi="Arial" w:cs="Arial"/>
                <w:sz w:val="24"/>
                <w:szCs w:val="24"/>
              </w:rPr>
              <w:t>Distinction claire entre transmission génétique et transmission non génétique (culturelle/épigénétique)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49E34" w14:textId="77777777" w:rsidR="00C7156D" w:rsidRPr="00C7156D" w:rsidRDefault="00C7156D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C7156D">
              <w:rPr>
                <w:rFonts w:ascii="Arial" w:hAnsi="Arial" w:cs="Arial"/>
                <w:sz w:val="24"/>
                <w:szCs w:val="24"/>
              </w:rPr>
              <w:t>/2</w:t>
            </w:r>
          </w:p>
        </w:tc>
      </w:tr>
    </w:tbl>
    <w:p w14:paraId="06EBBCF9" w14:textId="77777777" w:rsidR="00C7156D" w:rsidRPr="00C7156D" w:rsidRDefault="00C7156D" w:rsidP="00C7156D">
      <w:pPr>
        <w:rPr>
          <w:rFonts w:ascii="Arial" w:hAnsi="Arial" w:cs="Arial"/>
          <w:sz w:val="24"/>
          <w:szCs w:val="24"/>
        </w:rPr>
      </w:pPr>
    </w:p>
    <w:p w14:paraId="542EF082" w14:textId="77777777" w:rsidR="00747F75" w:rsidRPr="00C7156D" w:rsidRDefault="00747F75">
      <w:pPr>
        <w:rPr>
          <w:rFonts w:ascii="Arial" w:hAnsi="Arial" w:cs="Arial"/>
          <w:sz w:val="24"/>
          <w:szCs w:val="24"/>
        </w:rPr>
      </w:pPr>
    </w:p>
    <w:sectPr w:rsidR="00747F75" w:rsidRPr="00C7156D" w:rsidSect="00C7156D">
      <w:footerReference w:type="default" r:id="rId11"/>
      <w:pgSz w:w="11906" w:h="16838"/>
      <w:pgMar w:top="720" w:right="900" w:bottom="72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15C2D" w14:textId="77777777" w:rsidR="00484F86" w:rsidRDefault="00484F86">
      <w:r>
        <w:separator/>
      </w:r>
    </w:p>
  </w:endnote>
  <w:endnote w:type="continuationSeparator" w:id="0">
    <w:p w14:paraId="65164650" w14:textId="77777777" w:rsidR="00484F86" w:rsidRDefault="0048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BD528" w14:textId="77777777" w:rsidR="00C7156D" w:rsidRDefault="00C7156D">
    <w:pPr>
      <w:jc w:val="center"/>
    </w:pPr>
    <w:r>
      <w:rPr>
        <w:color w:val="999999"/>
        <w:sz w:val="16"/>
        <w:szCs w:val="16"/>
      </w:rPr>
      <w:t xml:space="preserve">Terminale spé SVT — Thème 2, Chapitre 1 : L'évolution humaine — </w:t>
    </w:r>
    <w:r>
      <w:rPr>
        <w:color w:val="999999"/>
        <w:sz w:val="16"/>
        <w:szCs w:val="16"/>
      </w:rPr>
      <w:fldChar w:fldCharType="begin"/>
    </w:r>
    <w:r>
      <w:rPr>
        <w:color w:val="999999"/>
        <w:sz w:val="16"/>
        <w:szCs w:val="16"/>
      </w:rPr>
      <w:instrText>PAGE</w:instrText>
    </w:r>
    <w:r>
      <w:rPr>
        <w:color w:val="999999"/>
        <w:sz w:val="16"/>
        <w:szCs w:val="16"/>
      </w:rPr>
      <w:fldChar w:fldCharType="separate"/>
    </w:r>
    <w:r>
      <w:rPr>
        <w:noProof/>
        <w:color w:val="999999"/>
        <w:sz w:val="16"/>
        <w:szCs w:val="16"/>
      </w:rPr>
      <w:t>1</w:t>
    </w:r>
    <w:r>
      <w:rPr>
        <w:color w:val="999999"/>
        <w:sz w:val="16"/>
        <w:szCs w:val="16"/>
      </w:rPr>
      <w:fldChar w:fldCharType="end"/>
    </w:r>
    <w:r>
      <w:rPr>
        <w:color w:val="999999"/>
        <w:sz w:val="16"/>
        <w:szCs w:val="16"/>
      </w:rPr>
      <w:t xml:space="preserve"> / </w:t>
    </w:r>
    <w:r>
      <w:rPr>
        <w:color w:val="999999"/>
        <w:sz w:val="16"/>
        <w:szCs w:val="16"/>
      </w:rPr>
      <w:fldChar w:fldCharType="begin"/>
    </w:r>
    <w:r>
      <w:rPr>
        <w:color w:val="999999"/>
        <w:sz w:val="16"/>
        <w:szCs w:val="16"/>
      </w:rPr>
      <w:instrText>NUMPAGES</w:instrText>
    </w:r>
    <w:r>
      <w:rPr>
        <w:color w:val="999999"/>
        <w:sz w:val="16"/>
        <w:szCs w:val="16"/>
      </w:rPr>
      <w:fldChar w:fldCharType="separate"/>
    </w:r>
    <w:r>
      <w:rPr>
        <w:noProof/>
        <w:color w:val="999999"/>
        <w:sz w:val="16"/>
        <w:szCs w:val="16"/>
      </w:rPr>
      <w:t>2</w:t>
    </w:r>
    <w:r>
      <w:rPr>
        <w:color w:val="99999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603CF" w14:textId="77777777" w:rsidR="00484F86" w:rsidRDefault="00484F86">
      <w:r>
        <w:separator/>
      </w:r>
    </w:p>
  </w:footnote>
  <w:footnote w:type="continuationSeparator" w:id="0">
    <w:p w14:paraId="43E0EC67" w14:textId="77777777" w:rsidR="00484F86" w:rsidRDefault="00484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2A9E"/>
    <w:multiLevelType w:val="hybridMultilevel"/>
    <w:tmpl w:val="73228110"/>
    <w:lvl w:ilvl="0" w:tplc="E15C3B64">
      <w:start w:val="1"/>
      <w:numFmt w:val="bullet"/>
      <w:lvlText w:val="●"/>
      <w:lvlJc w:val="left"/>
      <w:pPr>
        <w:ind w:left="720" w:hanging="360"/>
      </w:pPr>
    </w:lvl>
    <w:lvl w:ilvl="1" w:tplc="DEFC2900">
      <w:start w:val="1"/>
      <w:numFmt w:val="bullet"/>
      <w:lvlText w:val="○"/>
      <w:lvlJc w:val="left"/>
      <w:pPr>
        <w:ind w:left="1440" w:hanging="360"/>
      </w:pPr>
    </w:lvl>
    <w:lvl w:ilvl="2" w:tplc="609A4CAC">
      <w:start w:val="1"/>
      <w:numFmt w:val="bullet"/>
      <w:lvlText w:val="■"/>
      <w:lvlJc w:val="left"/>
      <w:pPr>
        <w:ind w:left="2160" w:hanging="360"/>
      </w:pPr>
    </w:lvl>
    <w:lvl w:ilvl="3" w:tplc="B5B43B06">
      <w:start w:val="1"/>
      <w:numFmt w:val="bullet"/>
      <w:lvlText w:val="●"/>
      <w:lvlJc w:val="left"/>
      <w:pPr>
        <w:ind w:left="2880" w:hanging="360"/>
      </w:pPr>
    </w:lvl>
    <w:lvl w:ilvl="4" w:tplc="D07249BA">
      <w:start w:val="1"/>
      <w:numFmt w:val="bullet"/>
      <w:lvlText w:val="○"/>
      <w:lvlJc w:val="left"/>
      <w:pPr>
        <w:ind w:left="3600" w:hanging="360"/>
      </w:pPr>
    </w:lvl>
    <w:lvl w:ilvl="5" w:tplc="B920A4F2">
      <w:start w:val="1"/>
      <w:numFmt w:val="bullet"/>
      <w:lvlText w:val="■"/>
      <w:lvlJc w:val="left"/>
      <w:pPr>
        <w:ind w:left="4320" w:hanging="360"/>
      </w:pPr>
    </w:lvl>
    <w:lvl w:ilvl="6" w:tplc="7D883166">
      <w:start w:val="1"/>
      <w:numFmt w:val="bullet"/>
      <w:lvlText w:val="●"/>
      <w:lvlJc w:val="left"/>
      <w:pPr>
        <w:ind w:left="5040" w:hanging="360"/>
      </w:pPr>
    </w:lvl>
    <w:lvl w:ilvl="7" w:tplc="7E78372A">
      <w:start w:val="1"/>
      <w:numFmt w:val="bullet"/>
      <w:lvlText w:val="●"/>
      <w:lvlJc w:val="left"/>
      <w:pPr>
        <w:ind w:left="5760" w:hanging="360"/>
      </w:pPr>
    </w:lvl>
    <w:lvl w:ilvl="8" w:tplc="A4A6FE72">
      <w:start w:val="1"/>
      <w:numFmt w:val="bullet"/>
      <w:lvlText w:val="●"/>
      <w:lvlJc w:val="left"/>
      <w:pPr>
        <w:ind w:left="6480" w:hanging="360"/>
      </w:pPr>
    </w:lvl>
  </w:abstractNum>
  <w:num w:numId="1" w16cid:durableId="18185744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6D"/>
    <w:rsid w:val="00034163"/>
    <w:rsid w:val="001214F2"/>
    <w:rsid w:val="00484F86"/>
    <w:rsid w:val="00511423"/>
    <w:rsid w:val="005148F9"/>
    <w:rsid w:val="0061424F"/>
    <w:rsid w:val="0071471E"/>
    <w:rsid w:val="00747F75"/>
    <w:rsid w:val="007F5ABE"/>
    <w:rsid w:val="00C7156D"/>
    <w:rsid w:val="00DA1D83"/>
    <w:rsid w:val="00FA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7874"/>
  <w15:chartTrackingRefBased/>
  <w15:docId w15:val="{2150C23E-C989-4A9B-ACE5-212BCF18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56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71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1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715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71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715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715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715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715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715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15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715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715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7156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7156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7156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7156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7156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7156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715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71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71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71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71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7156D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C7156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7156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715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7156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715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3</cp:revision>
  <dcterms:created xsi:type="dcterms:W3CDTF">2026-07-23T10:31:00Z</dcterms:created>
  <dcterms:modified xsi:type="dcterms:W3CDTF">2026-07-24T10:19:00Z</dcterms:modified>
</cp:coreProperties>
</file>