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67" w:rsidRDefault="00AC5767" w:rsidP="00AC5767">
      <w:pPr>
        <w:jc w:val="both"/>
      </w:pPr>
    </w:p>
    <w:p w:rsidR="00AC5767" w:rsidRDefault="00AC5767" w:rsidP="00AC5767">
      <w:pPr>
        <w:ind w:left="-566"/>
        <w:jc w:val="center"/>
        <w:rPr>
          <w:b/>
        </w:rPr>
      </w:pPr>
      <w:r>
        <w:rPr>
          <w:b/>
          <w:u w:val="single"/>
        </w:rPr>
        <w:t>Tableau 1 :</w:t>
      </w:r>
      <w:r>
        <w:rPr>
          <w:b/>
        </w:rPr>
        <w:t xml:space="preserve"> Fonctionnement cyclique des ovaires et de l’utérus. </w:t>
      </w:r>
    </w:p>
    <w:tbl>
      <w:tblPr>
        <w:tblpPr w:leftFromText="180" w:rightFromText="180" w:topFromText="180" w:bottomFromText="180" w:vertAnchor="text" w:tblpX="-495"/>
        <w:tblW w:w="10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35"/>
        <w:gridCol w:w="2535"/>
        <w:gridCol w:w="2535"/>
        <w:gridCol w:w="2535"/>
      </w:tblGrid>
      <w:tr w:rsidR="00AC5767" w:rsidTr="00E040CC">
        <w:trPr>
          <w:trHeight w:val="420"/>
        </w:trPr>
        <w:tc>
          <w:tcPr>
            <w:tcW w:w="2535" w:type="dxa"/>
            <w:vMerge w:val="restart"/>
            <w:shd w:val="clear" w:color="auto" w:fill="D9D9D9"/>
            <w:vAlign w:val="center"/>
          </w:tcPr>
          <w:p w:rsidR="00AC5767" w:rsidRDefault="00AC5767" w:rsidP="00E040CC">
            <w:pPr>
              <w:widowControl w:val="0"/>
              <w:spacing w:line="240" w:lineRule="auto"/>
              <w:jc w:val="center"/>
            </w:pPr>
            <w:r>
              <w:t>Ovaires</w:t>
            </w:r>
          </w:p>
        </w:tc>
        <w:tc>
          <w:tcPr>
            <w:tcW w:w="2535" w:type="dxa"/>
            <w:shd w:val="clear" w:color="auto" w:fill="D9D9D9"/>
            <w:vAlign w:val="center"/>
          </w:tcPr>
          <w:p w:rsidR="00AC5767" w:rsidRDefault="00AC5767" w:rsidP="00E040CC">
            <w:pPr>
              <w:widowControl w:val="0"/>
              <w:spacing w:line="240" w:lineRule="auto"/>
              <w:jc w:val="center"/>
            </w:pPr>
            <w:r>
              <w:t>Phase folliculaire (J0-14)</w:t>
            </w:r>
          </w:p>
        </w:tc>
        <w:tc>
          <w:tcPr>
            <w:tcW w:w="2535" w:type="dxa"/>
            <w:shd w:val="clear" w:color="auto" w:fill="D9D9D9"/>
            <w:vAlign w:val="center"/>
          </w:tcPr>
          <w:p w:rsidR="00AC5767" w:rsidRDefault="00AC5767" w:rsidP="00E040CC">
            <w:pPr>
              <w:widowControl w:val="0"/>
              <w:spacing w:line="240" w:lineRule="auto"/>
              <w:jc w:val="center"/>
            </w:pPr>
            <w:r>
              <w:t xml:space="preserve">Ovulation (J14) </w:t>
            </w:r>
          </w:p>
        </w:tc>
        <w:tc>
          <w:tcPr>
            <w:tcW w:w="2535" w:type="dxa"/>
            <w:shd w:val="clear" w:color="auto" w:fill="D9D9D9"/>
            <w:vAlign w:val="center"/>
          </w:tcPr>
          <w:p w:rsidR="00AC5767" w:rsidRDefault="00AC5767" w:rsidP="00E040CC">
            <w:pPr>
              <w:widowControl w:val="0"/>
              <w:spacing w:line="240" w:lineRule="auto"/>
              <w:jc w:val="center"/>
            </w:pPr>
            <w:r>
              <w:t>Phase lutéale (J15-28)</w:t>
            </w:r>
          </w:p>
        </w:tc>
      </w:tr>
      <w:tr w:rsidR="00AC5767" w:rsidTr="00E040CC">
        <w:trPr>
          <w:trHeight w:val="420"/>
        </w:trPr>
        <w:tc>
          <w:tcPr>
            <w:tcW w:w="2535" w:type="dxa"/>
            <w:vMerge/>
            <w:shd w:val="clear" w:color="auto" w:fill="D9D9D9"/>
            <w:vAlign w:val="center"/>
          </w:tcPr>
          <w:p w:rsidR="00AC5767" w:rsidRDefault="00AC5767" w:rsidP="00E040CC">
            <w:pPr>
              <w:widowControl w:val="0"/>
              <w:spacing w:line="240" w:lineRule="auto"/>
              <w:jc w:val="center"/>
            </w:pPr>
          </w:p>
        </w:tc>
        <w:tc>
          <w:tcPr>
            <w:tcW w:w="2535" w:type="dxa"/>
          </w:tcPr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color w:val="0000FF"/>
                <w:sz w:val="18"/>
                <w:szCs w:val="18"/>
              </w:rPr>
            </w:pPr>
            <w:r w:rsidRPr="002E4A27">
              <w:rPr>
                <w:color w:val="0000FF"/>
                <w:sz w:val="18"/>
                <w:szCs w:val="18"/>
              </w:rPr>
              <w:t>Croissance des follicules qui passent par plusieurs stades (primordiaux – primaires – secondaires – tertiaires) jusqu’au 14e jour</w:t>
            </w:r>
          </w:p>
        </w:tc>
        <w:tc>
          <w:tcPr>
            <w:tcW w:w="2535" w:type="dxa"/>
          </w:tcPr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color w:val="0000FF"/>
                <w:sz w:val="18"/>
                <w:szCs w:val="18"/>
              </w:rPr>
            </w:pPr>
            <w:r w:rsidRPr="002E4A27">
              <w:rPr>
                <w:color w:val="0000FF"/>
                <w:sz w:val="18"/>
                <w:szCs w:val="18"/>
              </w:rPr>
              <w:t>L’ovulation est la libération de l’ovule par le follicule mûr.</w:t>
            </w:r>
          </w:p>
        </w:tc>
        <w:tc>
          <w:tcPr>
            <w:tcW w:w="2535" w:type="dxa"/>
          </w:tcPr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i/>
                <w:color w:val="FF0000"/>
                <w:sz w:val="18"/>
                <w:szCs w:val="18"/>
              </w:rPr>
            </w:pPr>
            <w:r w:rsidRPr="002E4A27">
              <w:rPr>
                <w:color w:val="0000FF"/>
                <w:sz w:val="18"/>
                <w:szCs w:val="18"/>
              </w:rPr>
              <w:t>Le corps jaune (reste du follicule mûr) se développe jusqu’à dégénéré en toute fin du cycle.</w:t>
            </w:r>
          </w:p>
        </w:tc>
      </w:tr>
      <w:tr w:rsidR="00AC5767" w:rsidTr="00E040CC">
        <w:tc>
          <w:tcPr>
            <w:tcW w:w="2535" w:type="dxa"/>
            <w:shd w:val="clear" w:color="auto" w:fill="D9D9D9"/>
            <w:vAlign w:val="center"/>
          </w:tcPr>
          <w:p w:rsidR="00AC5767" w:rsidRDefault="00AC5767" w:rsidP="00E040CC">
            <w:pPr>
              <w:widowControl w:val="0"/>
              <w:spacing w:line="240" w:lineRule="auto"/>
              <w:jc w:val="center"/>
            </w:pPr>
            <w:r>
              <w:t>Utérus (endomètre)</w:t>
            </w:r>
          </w:p>
        </w:tc>
        <w:tc>
          <w:tcPr>
            <w:tcW w:w="2535" w:type="dxa"/>
          </w:tcPr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color w:val="0000FF"/>
                <w:sz w:val="18"/>
                <w:szCs w:val="18"/>
              </w:rPr>
            </w:pPr>
            <w:r w:rsidRPr="002E4A27">
              <w:rPr>
                <w:color w:val="0000FF"/>
                <w:sz w:val="18"/>
                <w:szCs w:val="18"/>
              </w:rPr>
              <w:t>L’endomètre (muqueuse de l’utérus) se détruit, c’est les règles (menstruation).</w:t>
            </w:r>
          </w:p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color w:val="0000FF"/>
                <w:sz w:val="18"/>
                <w:szCs w:val="18"/>
              </w:rPr>
            </w:pPr>
          </w:p>
        </w:tc>
        <w:tc>
          <w:tcPr>
            <w:tcW w:w="2535" w:type="dxa"/>
          </w:tcPr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color w:val="0000FF"/>
                <w:sz w:val="18"/>
                <w:szCs w:val="18"/>
              </w:rPr>
            </w:pPr>
            <w:r w:rsidRPr="002E4A27">
              <w:rPr>
                <w:color w:val="0000FF"/>
                <w:sz w:val="18"/>
                <w:szCs w:val="18"/>
              </w:rPr>
              <w:t>La muqueuse utérine se reconstruit et se vascularise (présence de V</w:t>
            </w:r>
            <w:r w:rsidRPr="002E4A27">
              <w:rPr>
                <w:color w:val="0000FF"/>
                <w:sz w:val="10"/>
                <w:szCs w:val="18"/>
              </w:rPr>
              <w:t>X</w:t>
            </w:r>
            <w:r w:rsidRPr="002E4A27">
              <w:rPr>
                <w:color w:val="0000FF"/>
                <w:sz w:val="18"/>
                <w:szCs w:val="18"/>
              </w:rPr>
              <w:t xml:space="preserve"> sanguins)  </w:t>
            </w:r>
          </w:p>
        </w:tc>
        <w:tc>
          <w:tcPr>
            <w:tcW w:w="2535" w:type="dxa"/>
          </w:tcPr>
          <w:p w:rsidR="00AC5767" w:rsidRPr="002E4A27" w:rsidRDefault="00AC5767" w:rsidP="00E040CC">
            <w:pPr>
              <w:widowControl w:val="0"/>
              <w:spacing w:line="240" w:lineRule="auto"/>
              <w:jc w:val="both"/>
              <w:rPr>
                <w:color w:val="0000FF"/>
                <w:sz w:val="18"/>
                <w:szCs w:val="18"/>
              </w:rPr>
            </w:pPr>
            <w:r w:rsidRPr="002E4A27">
              <w:rPr>
                <w:color w:val="0000FF"/>
                <w:sz w:val="18"/>
                <w:szCs w:val="18"/>
              </w:rPr>
              <w:t xml:space="preserve">Augmentation de la taille de la muqueuse utérine et formation de glande sécrétrice de mucus  </w:t>
            </w:r>
          </w:p>
        </w:tc>
      </w:tr>
    </w:tbl>
    <w:p w:rsidR="00AC5767" w:rsidRDefault="00AC5767" w:rsidP="00AC5767">
      <w:pPr>
        <w:jc w:val="both"/>
        <w:rPr>
          <w:u w:val="single"/>
        </w:rPr>
      </w:pPr>
      <w:r>
        <w:rPr>
          <w:u w:val="single"/>
        </w:rPr>
        <w:t xml:space="preserve">Objectifs : </w:t>
      </w:r>
    </w:p>
    <w:p w:rsidR="00AC5767" w:rsidRDefault="00AC5767" w:rsidP="00AC5767">
      <w:pPr>
        <w:ind w:firstLine="720"/>
        <w:jc w:val="both"/>
      </w:pPr>
      <w:r>
        <w:rPr>
          <w:rFonts w:ascii="Arial Unicode MS" w:eastAsia="Arial Unicode MS" w:hAnsi="Arial Unicode MS" w:cs="Arial Unicode MS"/>
        </w:rPr>
        <w:t xml:space="preserve">→ Montrer que l’utérus subit un cycle au cours duquel l’endomètre change d’aspect. </w:t>
      </w:r>
    </w:p>
    <w:p w:rsidR="00AC5767" w:rsidRDefault="00AC5767" w:rsidP="00AC5767">
      <w:pPr>
        <w:ind w:firstLine="720"/>
        <w:jc w:val="both"/>
      </w:pPr>
      <w:r>
        <w:rPr>
          <w:rFonts w:ascii="Arial Unicode MS" w:eastAsia="Arial Unicode MS" w:hAnsi="Arial Unicode MS" w:cs="Arial Unicode MS"/>
          <w:b/>
          <w:color w:val="0000FF"/>
        </w:rPr>
        <w:t>→ 15 min</w:t>
      </w:r>
      <w:r>
        <w:t xml:space="preserve"> </w:t>
      </w:r>
    </w:p>
    <w:p w:rsidR="00AC5767" w:rsidRDefault="00AC5767" w:rsidP="00AC5767">
      <w:pPr>
        <w:jc w:val="both"/>
      </w:pPr>
    </w:p>
    <w:p w:rsidR="00AC5767" w:rsidRDefault="00AC5767" w:rsidP="00AC5767">
      <w:pPr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 xml:space="preserve">Corrélation entre cycle ovarien et utérin </w:t>
      </w:r>
    </w:p>
    <w:p w:rsidR="00AC5767" w:rsidRDefault="00AC5767" w:rsidP="00AC5767">
      <w:pPr>
        <w:jc w:val="both"/>
        <w:rPr>
          <w:u w:val="single"/>
        </w:rPr>
      </w:pPr>
    </w:p>
    <w:p w:rsidR="00AC5767" w:rsidRDefault="00AC5767" w:rsidP="00AC5767">
      <w:pPr>
        <w:jc w:val="both"/>
        <w:rPr>
          <w:color w:val="0000FF"/>
        </w:rPr>
      </w:pPr>
      <w:r>
        <w:rPr>
          <w:color w:val="0000FF"/>
        </w:rPr>
        <w:t xml:space="preserve">//Correction du tableau en fin d’activité avec l’ensemble des travaux à faire, on demande aux élèves de participer. </w:t>
      </w:r>
    </w:p>
    <w:p w:rsidR="00AC5767" w:rsidRDefault="00AC5767" w:rsidP="00AC5767">
      <w:pPr>
        <w:jc w:val="both"/>
      </w:pPr>
      <w:r>
        <w:rPr>
          <w:u w:val="single"/>
        </w:rPr>
        <w:t xml:space="preserve">Document 4 </w:t>
      </w:r>
      <w:r>
        <w:t xml:space="preserve">: Relation entre cycle utérin et ovaire </w:t>
      </w:r>
    </w:p>
    <w:p w:rsidR="00AC5767" w:rsidRDefault="00AC5767" w:rsidP="00AC5767">
      <w:pPr>
        <w:jc w:val="both"/>
      </w:pPr>
    </w:p>
    <w:p w:rsidR="00AC5767" w:rsidRDefault="00AC5767" w:rsidP="00AC5767">
      <w:pPr>
        <w:ind w:left="-566"/>
        <w:jc w:val="center"/>
      </w:pPr>
      <w:r>
        <w:rPr>
          <w:b/>
          <w:u w:val="single"/>
        </w:rPr>
        <w:t>Tableau 2 :</w:t>
      </w:r>
      <w:r>
        <w:rPr>
          <w:b/>
        </w:rPr>
        <w:t xml:space="preserve"> Analyse des expériences ci-dessus.</w:t>
      </w:r>
    </w:p>
    <w:tbl>
      <w:tblPr>
        <w:tblW w:w="10170" w:type="dxa"/>
        <w:tblInd w:w="-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8895"/>
      </w:tblGrid>
      <w:tr w:rsidR="00AC5767" w:rsidTr="00E040CC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</w:pP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Analyse </w:t>
            </w:r>
          </w:p>
        </w:tc>
      </w:tr>
      <w:tr w:rsidR="00AC5767" w:rsidTr="00E040CC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</w:pPr>
            <w:proofErr w:type="spellStart"/>
            <w:r>
              <w:t>Exp</w:t>
            </w:r>
            <w:proofErr w:type="spellEnd"/>
            <w:r>
              <w:t xml:space="preserve"> 1 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On fait une ablation des ovaires on voit que le cycle utérin s’arrête. On déduit donc que les ovaires régulent le cycle utérin, donc l’utérus.</w:t>
            </w:r>
          </w:p>
        </w:tc>
      </w:tr>
      <w:tr w:rsidR="00AC5767" w:rsidTr="00E040CC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</w:pPr>
            <w:proofErr w:type="spellStart"/>
            <w:r>
              <w:t>Exp</w:t>
            </w:r>
            <w:proofErr w:type="spellEnd"/>
            <w:r>
              <w:t xml:space="preserve"> 2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On fait une ablation des ovaires puis on les greffe sous la peau. On voit qu’il y a un développement cyclique de la muqueuse utérine. On en déduit que les ovaires contrôlent le fonctionnement de l’utérus et on peut penser que c’est par voie hormonale.</w:t>
            </w:r>
          </w:p>
        </w:tc>
      </w:tr>
      <w:tr w:rsidR="00AC5767" w:rsidTr="00E040CC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</w:pPr>
            <w:proofErr w:type="spellStart"/>
            <w:r>
              <w:t>Exp</w:t>
            </w:r>
            <w:proofErr w:type="spellEnd"/>
            <w:r>
              <w:t xml:space="preserve"> 3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On fait une ablation des ovaires puis on injecte une dose quotidienne d’extraits ovariens. On voit qu’il y a un développement cyclique de la muqueuse utérine. On en déduit qu’il y a une substance contenue dans l’extrait ovarien qui régule le cycle utérin.</w:t>
            </w:r>
          </w:p>
        </w:tc>
      </w:tr>
      <w:tr w:rsidR="00AC5767" w:rsidTr="00E040CC"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</w:pPr>
            <w:proofErr w:type="spellStart"/>
            <w:r>
              <w:t>Exp</w:t>
            </w:r>
            <w:proofErr w:type="spellEnd"/>
            <w:r>
              <w:t xml:space="preserve"> 4 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5767" w:rsidRDefault="00AC5767" w:rsidP="00E040CC">
            <w:pPr>
              <w:widowControl w:val="0"/>
              <w:spacing w:line="240" w:lineRule="auto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On fait une ablation de l’utérus. On voit qu’il n’y a plus de fonctionnement cyclique de l’utérus et des ovaires. On en déduit que l’ovaire agit bien sur l’utérus mais que l’utérus n’agit pas sur l’ovaire en retour.</w:t>
            </w:r>
          </w:p>
        </w:tc>
      </w:tr>
    </w:tbl>
    <w:p w:rsidR="00AC5767" w:rsidRDefault="00AC5767" w:rsidP="00AC5767">
      <w:pPr>
        <w:ind w:left="-566"/>
        <w:jc w:val="both"/>
      </w:pPr>
    </w:p>
    <w:p w:rsidR="001E7418" w:rsidRDefault="001E7418">
      <w:bookmarkStart w:id="0" w:name="_GoBack"/>
      <w:bookmarkEnd w:id="0"/>
    </w:p>
    <w:sectPr w:rsidR="001E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1D5C"/>
    <w:multiLevelType w:val="multilevel"/>
    <w:tmpl w:val="0C4AD9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67"/>
    <w:rsid w:val="001E7418"/>
    <w:rsid w:val="00A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674C0-B782-49A3-A045-17F1D222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767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2025-05-12T05:38:00Z</dcterms:created>
  <dcterms:modified xsi:type="dcterms:W3CDTF">2025-05-12T05:38:00Z</dcterms:modified>
</cp:coreProperties>
</file>