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4E79"/>
          <w:sz w:val="40"/>
          <w:szCs w:val="40"/>
        </w:rPr>
        <w:t xml:space="preserve">Le devenir des mutations</w:t>
      </w:r>
    </w:p>
    <w:p>
      <w:pPr>
        <w:pBdr>
          <w:bottom w:val="single" w:color="2E75B6" w:sz="8" w:space="6"/>
        </w:pBdr>
        <w:spacing w:after="240"/>
        <w:jc w:val="center"/>
      </w:pPr>
      <w:r>
        <w:rPr>
          <w:rFonts w:ascii="Calibri" w:cs="Calibri" w:eastAsia="Calibri" w:hAnsi="Calibri"/>
          <w:i/>
          <w:iCs/>
          <w:color w:val="595959"/>
          <w:sz w:val="24"/>
          <w:szCs w:val="24"/>
        </w:rPr>
        <w:t xml:space="preserve">Corrigé – Expliquez les conséquences des mutations (1re spécialité SVT)</w:t>
      </w:r>
    </w:p>
    <w:p>
      <w:pPr>
        <w:pStyle w:val="Heading1"/>
        <w:spacing w:after="120" w:before="280"/>
      </w:pPr>
      <w:r>
        <w:rPr>
          <w:rFonts w:ascii="Calibri" w:cs="Calibri" w:eastAsia="Calibri" w:hAnsi="Calibri"/>
          <w:b/>
          <w:bCs/>
          <w:color w:val="1F4E79"/>
          <w:sz w:val="30"/>
          <w:szCs w:val="30"/>
        </w:rPr>
        <w:t xml:space="preserve">Introduction</w:t>
      </w:r>
    </w:p>
    <w:p>
      <w:pPr>
        <w:spacing w:after="120" w:line="276"/>
      </w:pPr>
      <w:r>
        <w:rPr>
          <w:rFonts w:ascii="Calibri" w:cs="Calibri" w:eastAsia="Calibri" w:hAnsi="Calibri"/>
          <w:sz w:val="22"/>
          <w:szCs w:val="22"/>
        </w:rPr>
        <w:t xml:space="preserve">Une mutation est une modification, aléatoire et spontanée, de la séquence de nucléotides de l'ADN. Elle peut toucher n'importe quelle cellule de l'organisme, et donc n'importe quel gène. Elle peut aussi créer un nouvel allèle. Toutes les cellules ne sont pas équivalentes : certaines forment le corps (cellules somatiques), d'autres donnent les gamètes (lignée germinale). Le devenir d'une mutation dépend donc de la cellule touchée et du moment où elle apparaît.</w:t>
      </w:r>
    </w:p>
    <w:p>
      <w:pPr>
        <w:spacing w:after="120" w:line="276"/>
      </w:pPr>
      <w:r>
        <w:rPr>
          <w:rFonts w:ascii="Calibri" w:cs="Calibri" w:eastAsia="Calibri" w:hAnsi="Calibri"/>
          <w:b/>
          <w:bCs/>
          <w:sz w:val="22"/>
          <w:szCs w:val="22"/>
        </w:rPr>
        <w:t xml:space="preserve">Problématique : </w:t>
      </w:r>
      <w:r>
        <w:rPr>
          <w:rFonts w:ascii="Calibri" w:cs="Calibri" w:eastAsia="Calibri" w:hAnsi="Calibri"/>
          <w:sz w:val="22"/>
          <w:szCs w:val="22"/>
        </w:rPr>
        <w:t xml:space="preserve">comment le type de cellule touchée par une mutation détermine-t-il ses conséquences sur l'individu et sur sa descendance ? Et les mutations restent-elles des événements rares ou s'accumulent-elles au cours de la vie ?</w:t>
      </w:r>
    </w:p>
    <w:p>
      <w:pPr>
        <w:pStyle w:val="Heading1"/>
        <w:spacing w:after="120" w:before="280"/>
      </w:pPr>
      <w:r>
        <w:rPr>
          <w:rFonts w:ascii="Calibri" w:cs="Calibri" w:eastAsia="Calibri" w:hAnsi="Calibri"/>
          <w:b/>
          <w:bCs/>
          <w:color w:val="1F4E79"/>
          <w:sz w:val="30"/>
          <w:szCs w:val="30"/>
        </w:rPr>
        <w:t xml:space="preserve">Développement</w:t>
      </w:r>
    </w:p>
    <w:p>
      <w:pPr>
        <w:pStyle w:val="Heading2"/>
        <w:spacing w:after="100" w:before="200"/>
      </w:pPr>
      <w:r>
        <w:rPr>
          <w:rFonts w:ascii="Calibri" w:cs="Calibri" w:eastAsia="Calibri" w:hAnsi="Calibri"/>
          <w:b/>
          <w:bCs/>
          <w:color w:val="2E75B6"/>
          <w:sz w:val="25"/>
          <w:szCs w:val="25"/>
        </w:rPr>
        <w:t xml:space="preserve">I. Les mutations s'accumulent tout au long de la vie (document 4)</w:t>
      </w:r>
    </w:p>
    <w:p>
      <w:pPr>
        <w:spacing w:after="120" w:line="276"/>
      </w:pPr>
      <w:r>
        <w:rPr>
          <w:rFonts w:ascii="Calibri" w:cs="Calibri" w:eastAsia="Calibri" w:hAnsi="Calibri"/>
          <w:sz w:val="22"/>
          <w:szCs w:val="22"/>
        </w:rPr>
        <w:t xml:space="preserve">Le document 4 compare l'ADN de cellules souches de l'intestin grêle à celui de cellules sanguines, chez 19 donneurs de 3 à 87 ans. Le sang sert de référence pour chaque individu.</w:t>
      </w:r>
    </w:p>
    <w:p>
      <w:pPr>
        <w:spacing w:after="120" w:line="276"/>
      </w:pPr>
      <w:r>
        <w:rPr>
          <w:rFonts w:ascii="Calibri" w:cs="Calibri" w:eastAsia="Calibri" w:hAnsi="Calibri"/>
          <w:sz w:val="22"/>
          <w:szCs w:val="22"/>
        </w:rPr>
        <w:t xml:space="preserve">Le graphique A montre une relation à peu près linéaire entre l'âge et le nombre de mutations ponctuelles par cellule. On compte environ 300 mutations à 3 ans, 600 à 8 ans, 1 600 à 1 900 vers 45 ans, et 3 500 à 3 700 vers 80 ans. Cela représente environ 40 mutations par cellule et par an. L'information génétique d'un individu n'est donc pas totalement stable : des mutations apparaissent et s'accumulent au fil des divisions cellulaires.</w:t>
      </w:r>
    </w:p>
    <w:p>
      <w:pPr>
        <w:spacing w:after="120" w:line="276"/>
      </w:pPr>
      <w:r>
        <w:rPr>
          <w:rFonts w:ascii="Calibri" w:cs="Calibri" w:eastAsia="Calibri" w:hAnsi="Calibri"/>
          <w:i/>
          <w:iCs/>
          <w:sz w:val="22"/>
          <w:szCs w:val="22"/>
        </w:rPr>
        <w:t xml:space="preserve">Connaissances mobilisées : </w:t>
      </w:r>
      <w:r>
        <w:rPr>
          <w:rFonts w:ascii="Calibri" w:cs="Calibri" w:eastAsia="Calibri" w:hAnsi="Calibri"/>
          <w:sz w:val="22"/>
          <w:szCs w:val="22"/>
        </w:rPr>
        <w:t xml:space="preserve">l'ADN est copié à chaque réplication avant la mitose. Cette copie n'est pas parfaite, et les agents mutagènes (UV, tabac, rayonnements) augmentent le risque d'erreur. Une mutation ponctuelle est le remplacement d'un nucléotide par un autre.</w:t>
      </w:r>
    </w:p>
    <w:p>
      <w:pPr>
        <w:pStyle w:val="Heading2"/>
        <w:spacing w:after="100" w:before="200"/>
      </w:pPr>
      <w:r>
        <w:rPr>
          <w:rFonts w:ascii="Calibri" w:cs="Calibri" w:eastAsia="Calibri" w:hAnsi="Calibri"/>
          <w:b/>
          <w:bCs/>
          <w:color w:val="2E75B6"/>
          <w:sz w:val="25"/>
          <w:szCs w:val="25"/>
        </w:rPr>
        <w:t xml:space="preserve">II. Selon la cellule touchée, la mutation reste dans l'individu ou est transmise (documents 1 et 3)</w:t>
      </w:r>
    </w:p>
    <w:p>
      <w:pPr>
        <w:spacing w:after="120" w:line="276"/>
      </w:pPr>
      <w:r>
        <w:rPr>
          <w:rFonts w:ascii="Calibri" w:cs="Calibri" w:eastAsia="Calibri" w:hAnsi="Calibri"/>
          <w:b/>
          <w:bCs/>
          <w:sz w:val="22"/>
          <w:szCs w:val="22"/>
        </w:rPr>
        <w:t xml:space="preserve">Mutation somatique. </w:t>
      </w:r>
      <w:r>
        <w:rPr>
          <w:rFonts w:ascii="Calibri" w:cs="Calibri" w:eastAsia="Calibri" w:hAnsi="Calibri"/>
          <w:sz w:val="22"/>
          <w:szCs w:val="22"/>
        </w:rPr>
        <w:t xml:space="preserve">Le document 3 montre qu'une mutation survenant dans une cellule de la lignée somatique reste limitée à cette cellule et à ses descendantes. Comme la mitose donne des cellules filles identiques à la cellule mère, elles forment un </w:t>
      </w:r>
      <w:r>
        <w:rPr>
          <w:rFonts w:ascii="Calibri" w:cs="Calibri" w:eastAsia="Calibri" w:hAnsi="Calibri"/>
          <w:b/>
          <w:bCs/>
          <w:sz w:val="22"/>
          <w:szCs w:val="22"/>
        </w:rPr>
        <w:t xml:space="preserve">clone</w:t>
      </w:r>
      <w:r>
        <w:rPr>
          <w:rFonts w:ascii="Calibri" w:cs="Calibri" w:eastAsia="Calibri" w:hAnsi="Calibri"/>
          <w:sz w:val="22"/>
          <w:szCs w:val="22"/>
        </w:rPr>
        <w:t xml:space="preserve"> de cellules mutées, localisé dans un tissu. Plus la mutation est précoce dans le développement embryonnaire, plus la zone de cellules mutées est étendue. Cette mutation n'est pas transmise à la descendance.</w:t>
      </w:r>
    </w:p>
    <w:p>
      <w:pPr>
        <w:spacing w:after="120" w:line="276"/>
      </w:pPr>
      <w:r>
        <w:rPr>
          <w:rFonts w:ascii="Calibri" w:cs="Calibri" w:eastAsia="Calibri" w:hAnsi="Calibri"/>
          <w:b/>
          <w:bCs/>
          <w:sz w:val="22"/>
          <w:szCs w:val="22"/>
        </w:rPr>
        <w:t xml:space="preserve">Mutation germinale. </w:t>
      </w:r>
      <w:r>
        <w:rPr>
          <w:rFonts w:ascii="Calibri" w:cs="Calibri" w:eastAsia="Calibri" w:hAnsi="Calibri"/>
          <w:sz w:val="22"/>
          <w:szCs w:val="22"/>
        </w:rPr>
        <w:t xml:space="preserve">Si la mutation touche une cellule de la lignée germinale (futurs testicules ou ovaires), elle se retrouve dans des gamètes. Si l'un d'eux participe à la fécondation, la mutation est présente dans toutes les cellules de l'enfant, y compris ses propres cellules germinales. Elle est alors transmissible aux générations suivantes.</w:t>
      </w:r>
    </w:p>
    <w:p>
      <w:pPr>
        <w:spacing w:after="120" w:line="276"/>
      </w:pPr>
      <w:r>
        <w:rPr>
          <w:rFonts w:ascii="Calibri" w:cs="Calibri" w:eastAsia="Calibri" w:hAnsi="Calibri"/>
          <w:sz w:val="22"/>
          <w:szCs w:val="22"/>
        </w:rPr>
        <w:t xml:space="preserve">Le document 3 précise que la majorité des mutations n'ont pas d'effet détectable. C'est le cas quand elles touchent une zone non codante ou quand elles ne modifient pas la protéine. Certaines ont un effet, favorable ou défavorable, et quelques-unes sont mortelles pour la cellule.</w:t>
      </w:r>
    </w:p>
    <w:p>
      <w:pPr>
        <w:pStyle w:val="Heading2"/>
        <w:spacing w:after="100" w:before="200"/>
      </w:pPr>
      <w:r>
        <w:rPr>
          <w:rFonts w:ascii="Calibri" w:cs="Calibri" w:eastAsia="Calibri" w:hAnsi="Calibri"/>
          <w:b/>
          <w:bCs/>
          <w:color w:val="2E75B6"/>
          <w:sz w:val="25"/>
          <w:szCs w:val="25"/>
        </w:rPr>
        <w:t xml:space="preserve">III. Une même maladie peut avoir une origine somatique ou germinale (document 2)</w:t>
      </w:r>
    </w:p>
    <w:p>
      <w:pPr>
        <w:spacing w:after="120" w:line="276"/>
      </w:pPr>
      <w:r>
        <w:rPr>
          <w:rFonts w:ascii="Calibri" w:cs="Calibri" w:eastAsia="Calibri" w:hAnsi="Calibri"/>
          <w:sz w:val="22"/>
          <w:szCs w:val="22"/>
        </w:rPr>
        <w:t xml:space="preserve">Le document 2 étudie un adénome, une tumeur bénigne de la glande surrénale. Elle produit trop d'aldostérone, ce qui entraîne une réabsorption excessive de sodium par le rein et une hypertension. Les chercheurs ont séquencé le gène CACNA1D, qui code un transporteur d'ions, chez des malades et leurs parents.</w:t>
      </w:r>
    </w:p>
    <w:p>
      <w:pPr>
        <w:spacing w:after="60"/>
      </w:pPr>
      <w:r>
        <w:rPr>
          <w:rFonts w:ascii="Calibri" w:cs="Calibri" w:eastAsia="Calibri" w:hAnsi="Calibri"/>
          <w:i/>
          <w:iCs/>
          <w:sz w:val="22"/>
          <w:szCs w:val="22"/>
        </w:rPr>
        <w:t xml:space="preserve">Famille 1 (garçon malade) :</w:t>
      </w:r>
    </w:p>
    <w:p>
      <w:pPr>
        <w:pStyle w:val="ListParagraph"/>
        <w:numPr>
          <w:ilvl w:val="0"/>
          <w:numId w:val="2"/>
        </w:numPr>
        <w:spacing w:after="60" w:line="276"/>
      </w:pPr>
      <w:r>
        <w:rPr>
          <w:rFonts w:ascii="Calibri" w:cs="Calibri" w:eastAsia="Calibri" w:hAnsi="Calibri"/>
          <w:sz w:val="22"/>
          <w:szCs w:val="22"/>
        </w:rPr>
        <w:t xml:space="preserve">Les parents ont deux allèles identiques (CTTGGTGTC) et le garçon possède le même génotype dans les cellules saines de son corps.</w:t>
      </w:r>
    </w:p>
    <w:p>
      <w:pPr>
        <w:pStyle w:val="ListParagraph"/>
        <w:numPr>
          <w:ilvl w:val="0"/>
          <w:numId w:val="2"/>
        </w:numPr>
        <w:spacing w:after="60" w:line="276"/>
      </w:pPr>
      <w:r>
        <w:rPr>
          <w:rFonts w:ascii="Calibri" w:cs="Calibri" w:eastAsia="Calibri" w:hAnsi="Calibri"/>
          <w:sz w:val="22"/>
          <w:szCs w:val="22"/>
        </w:rPr>
        <w:t xml:space="preserve">Seule la cellule tumorale porte un allèle muté (CTTCGTGTC), avec un G remplacé par un C.</w:t>
      </w:r>
    </w:p>
    <w:p>
      <w:pPr>
        <w:pStyle w:val="ListParagraph"/>
        <w:numPr>
          <w:ilvl w:val="0"/>
          <w:numId w:val="2"/>
        </w:numPr>
        <w:spacing w:after="60" w:line="276"/>
      </w:pPr>
      <w:r>
        <w:rPr>
          <w:rFonts w:ascii="Calibri" w:cs="Calibri" w:eastAsia="Calibri" w:hAnsi="Calibri"/>
          <w:sz w:val="22"/>
          <w:szCs w:val="22"/>
        </w:rPr>
        <w:t xml:space="preserve">Il s'agit donc d'une mutation somatique. Elle est apparue dans une cellule de la glande surrénale, a formé un clone tumoral, et n'est ni héritée ni présente dans les autres cellules.</w:t>
      </w:r>
    </w:p>
    <w:p>
      <w:pPr>
        <w:spacing w:after="60" w:before="120"/>
      </w:pPr>
      <w:r>
        <w:rPr>
          <w:rFonts w:ascii="Calibri" w:cs="Calibri" w:eastAsia="Calibri" w:hAnsi="Calibri"/>
          <w:i/>
          <w:iCs/>
          <w:sz w:val="22"/>
          <w:szCs w:val="22"/>
        </w:rPr>
        <w:t xml:space="preserve">Famille 2 (fille malade) :</w:t>
      </w:r>
    </w:p>
    <w:p>
      <w:pPr>
        <w:pStyle w:val="ListParagraph"/>
        <w:numPr>
          <w:ilvl w:val="0"/>
          <w:numId w:val="2"/>
        </w:numPr>
        <w:spacing w:after="60" w:line="276"/>
      </w:pPr>
      <w:r>
        <w:rPr>
          <w:rFonts w:ascii="Calibri" w:cs="Calibri" w:eastAsia="Calibri" w:hAnsi="Calibri"/>
          <w:sz w:val="22"/>
          <w:szCs w:val="22"/>
        </w:rPr>
        <w:t xml:space="preserve">Les parents ont deux allèles identiques (GCCATCGCT).</w:t>
      </w:r>
    </w:p>
    <w:p>
      <w:pPr>
        <w:pStyle w:val="ListParagraph"/>
        <w:numPr>
          <w:ilvl w:val="0"/>
          <w:numId w:val="2"/>
        </w:numPr>
        <w:spacing w:after="60" w:line="276"/>
      </w:pPr>
      <w:r>
        <w:rPr>
          <w:rFonts w:ascii="Calibri" w:cs="Calibri" w:eastAsia="Calibri" w:hAnsi="Calibri"/>
          <w:sz w:val="22"/>
          <w:szCs w:val="22"/>
        </w:rPr>
        <w:t xml:space="preserve">Toutes les cellules de la fille portent un allèle muté (GCCATGGCT), avec un C remplacé par un G.</w:t>
      </w:r>
    </w:p>
    <w:p>
      <w:pPr>
        <w:pStyle w:val="ListParagraph"/>
        <w:numPr>
          <w:ilvl w:val="0"/>
          <w:numId w:val="2"/>
        </w:numPr>
        <w:spacing w:after="60" w:line="276"/>
      </w:pPr>
      <w:r>
        <w:rPr>
          <w:rFonts w:ascii="Calibri" w:cs="Calibri" w:eastAsia="Calibri" w:hAnsi="Calibri"/>
          <w:sz w:val="22"/>
          <w:szCs w:val="22"/>
        </w:rPr>
        <w:t xml:space="preserve">Cette mutation est absente chez les parents. Elle est donc apparue dans un gamète d'un parent, ou dans l'œuf très tôt après la fécondation. Elle est de type germinal et pourra être transmise à ses enfants.</w:t>
      </w:r>
    </w:p>
    <w:p>
      <w:pPr>
        <w:spacing w:after="160" w:before="120"/>
      </w:pPr>
      <w:r>
        <w:rPr>
          <w:rFonts w:ascii="Calibri" w:cs="Calibri" w:eastAsia="Calibri" w:hAnsi="Calibri"/>
          <w:sz w:val="22"/>
          <w:szCs w:val="22"/>
        </w:rPr>
        <w:t xml:space="preserve">Dans les deux cas, une mutation du même gène modifie la protéine, un transporteur d'ions. Le phénotype moléculaire est modifié, ce qui perturbe la sécrétion d'aldostérone et provoque la maladie. La conséquence sur l'organisme diffère selon la cellule touchée : localisée à une tumeur dans un cas, présente dans tout le corps et héréditaire dans l'autre.</w:t>
      </w:r>
    </w:p>
    <w:p>
      <w:pPr>
        <w:pStyle w:val="Heading2"/>
        <w:spacing w:after="100" w:before="200"/>
      </w:pPr>
      <w:r>
        <w:rPr>
          <w:rFonts w:ascii="Calibri" w:cs="Calibri" w:eastAsia="Calibri" w:hAnsi="Calibri"/>
          <w:b/>
          <w:bCs/>
          <w:color w:val="2E75B6"/>
          <w:sz w:val="25"/>
          <w:szCs w:val="25"/>
        </w:rPr>
        <w:t xml:space="preserve">Schéma bilan : mutation somatique et mutation germinale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513"/>
        <w:gridCol w:w="3513"/>
      </w:tblGrid>
      <w:tr>
        <w:trPr>
          <w:tblHeader/>
        </w:trPr>
        <w:tc>
          <w:tcPr>
            <w:tcW w:type="dxa" w:w="2000"/>
            <w:tcBorders>
              <w:top w:val="single" w:color="9DB7D5" w:sz="4"/>
              <w:left w:val="single" w:color="9DB7D5" w:sz="4"/>
              <w:bottom w:val="single" w:color="9DB7D5" w:sz="4"/>
              <w:right w:val="single" w:color="9DB7D5" w:sz="4"/>
            </w:tcBorders>
            <w:shd w:fill="1F4E79" w:color="auto" w:val="clear"/>
            <w:tcMar>
              <w:top w:type="dxa" w:w="80"/>
              <w:left w:type="dxa" w:w="120"/>
              <w:bottom w:type="dxa" w:w="80"/>
              <w:right w:type="dxa" w:w="120"/>
            </w:tcMar>
          </w:tcPr>
          <w:p>
            <w:r>
              <w:rPr>
                <w:rFonts w:ascii="Calibri" w:cs="Calibri" w:eastAsia="Calibri" w:hAnsi="Calibri"/>
                <w:b/>
                <w:bCs/>
                <w:color w:val="FFFFFF"/>
                <w:sz w:val="21"/>
                <w:szCs w:val="21"/>
              </w:rPr>
              <w:t xml:space="preserve"/>
            </w:r>
          </w:p>
        </w:tc>
        <w:tc>
          <w:tcPr>
            <w:tcW w:type="dxa" w:w="3513"/>
            <w:tcBorders>
              <w:top w:val="single" w:color="9DB7D5" w:sz="4"/>
              <w:left w:val="single" w:color="9DB7D5" w:sz="4"/>
              <w:bottom w:val="single" w:color="9DB7D5" w:sz="4"/>
              <w:right w:val="single" w:color="9DB7D5" w:sz="4"/>
            </w:tcBorders>
            <w:shd w:fill="1F4E79" w:color="auto" w:val="clear"/>
            <w:tcMar>
              <w:top w:type="dxa" w:w="80"/>
              <w:left w:type="dxa" w:w="120"/>
              <w:bottom w:type="dxa" w:w="80"/>
              <w:right w:type="dxa" w:w="120"/>
            </w:tcMar>
          </w:tcPr>
          <w:p>
            <w:r>
              <w:rPr>
                <w:rFonts w:ascii="Calibri" w:cs="Calibri" w:eastAsia="Calibri" w:hAnsi="Calibri"/>
                <w:b/>
                <w:bCs/>
                <w:color w:val="FFFFFF"/>
                <w:sz w:val="21"/>
                <w:szCs w:val="21"/>
              </w:rPr>
              <w:t xml:space="preserve">Mutation somatique</w:t>
            </w:r>
          </w:p>
        </w:tc>
        <w:tc>
          <w:tcPr>
            <w:tcW w:type="dxa" w:w="3513"/>
            <w:tcBorders>
              <w:top w:val="single" w:color="9DB7D5" w:sz="4"/>
              <w:left w:val="single" w:color="9DB7D5" w:sz="4"/>
              <w:bottom w:val="single" w:color="9DB7D5" w:sz="4"/>
              <w:right w:val="single" w:color="9DB7D5" w:sz="4"/>
            </w:tcBorders>
            <w:shd w:fill="1F4E79" w:color="auto" w:val="clear"/>
            <w:tcMar>
              <w:top w:type="dxa" w:w="80"/>
              <w:left w:type="dxa" w:w="120"/>
              <w:bottom w:type="dxa" w:w="80"/>
              <w:right w:type="dxa" w:w="120"/>
            </w:tcMar>
          </w:tcPr>
          <w:p>
            <w:r>
              <w:rPr>
                <w:rFonts w:ascii="Calibri" w:cs="Calibri" w:eastAsia="Calibri" w:hAnsi="Calibri"/>
                <w:b/>
                <w:bCs/>
                <w:color w:val="FFFFFF"/>
                <w:sz w:val="21"/>
                <w:szCs w:val="21"/>
              </w:rPr>
              <w:t xml:space="preserve">Mutation germinale</w:t>
            </w:r>
          </w:p>
        </w:tc>
      </w:tr>
      <w:tr>
        <w:trPr>
          <w:tblHeader w:val="false"/>
        </w:trPr>
        <w:tc>
          <w:tcPr>
            <w:tcW w:type="dxa" w:w="2000"/>
            <w:tcBorders>
              <w:top w:val="single" w:color="9DB7D5" w:sz="4"/>
              <w:left w:val="single" w:color="9DB7D5" w:sz="4"/>
              <w:bottom w:val="single" w:color="9DB7D5" w:sz="4"/>
              <w:right w:val="single" w:color="9DB7D5" w:sz="4"/>
            </w:tcBorders>
            <w:shd w:fill="DEEAF6" w:color="auto" w:val="clear"/>
            <w:tcMar>
              <w:top w:type="dxa" w:w="80"/>
              <w:left w:type="dxa" w:w="120"/>
              <w:bottom w:type="dxa" w:w="80"/>
              <w:right w:type="dxa" w:w="120"/>
            </w:tcMar>
          </w:tcPr>
          <w:p>
            <w:r>
              <w:rPr>
                <w:rFonts w:ascii="Calibri" w:cs="Calibri" w:eastAsia="Calibri" w:hAnsi="Calibri"/>
                <w:b/>
                <w:bCs/>
                <w:sz w:val="21"/>
                <w:szCs w:val="21"/>
              </w:rPr>
              <w:t xml:space="preserve">Cellule touchée</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Cellule non reproductrice (lignée somatique)</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Cellule de la lignée germinale (future gamète)</w:t>
            </w:r>
          </w:p>
        </w:tc>
      </w:tr>
      <w:tr>
        <w:trPr>
          <w:tblHeader w:val="false"/>
        </w:trPr>
        <w:tc>
          <w:tcPr>
            <w:tcW w:type="dxa" w:w="2000"/>
            <w:tcBorders>
              <w:top w:val="single" w:color="9DB7D5" w:sz="4"/>
              <w:left w:val="single" w:color="9DB7D5" w:sz="4"/>
              <w:bottom w:val="single" w:color="9DB7D5" w:sz="4"/>
              <w:right w:val="single" w:color="9DB7D5" w:sz="4"/>
            </w:tcBorders>
            <w:shd w:fill="DEEAF6" w:color="auto" w:val="clear"/>
            <w:tcMar>
              <w:top w:type="dxa" w:w="80"/>
              <w:left w:type="dxa" w:w="120"/>
              <w:bottom w:type="dxa" w:w="80"/>
              <w:right w:type="dxa" w:w="120"/>
            </w:tcMar>
          </w:tcPr>
          <w:p>
            <w:r>
              <w:rPr>
                <w:rFonts w:ascii="Calibri" w:cs="Calibri" w:eastAsia="Calibri" w:hAnsi="Calibri"/>
                <w:b/>
                <w:bCs/>
                <w:sz w:val="21"/>
                <w:szCs w:val="21"/>
              </w:rPr>
              <w:t xml:space="preserve">Cellules mutées chez l'individu</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Un clone de cellules mutées, localisé dans un tissu ou un organe</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Toutes les cellules de l'enfant, y compris ses propres cellules germinales</w:t>
            </w:r>
          </w:p>
        </w:tc>
      </w:tr>
      <w:tr>
        <w:trPr>
          <w:tblHeader w:val="false"/>
        </w:trPr>
        <w:tc>
          <w:tcPr>
            <w:tcW w:type="dxa" w:w="2000"/>
            <w:tcBorders>
              <w:top w:val="single" w:color="9DB7D5" w:sz="4"/>
              <w:left w:val="single" w:color="9DB7D5" w:sz="4"/>
              <w:bottom w:val="single" w:color="9DB7D5" w:sz="4"/>
              <w:right w:val="single" w:color="9DB7D5" w:sz="4"/>
            </w:tcBorders>
            <w:shd w:fill="DEEAF6" w:color="auto" w:val="clear"/>
            <w:tcMar>
              <w:top w:type="dxa" w:w="80"/>
              <w:left w:type="dxa" w:w="120"/>
              <w:bottom w:type="dxa" w:w="80"/>
              <w:right w:type="dxa" w:w="120"/>
            </w:tcMar>
          </w:tcPr>
          <w:p>
            <w:r>
              <w:rPr>
                <w:rFonts w:ascii="Calibri" w:cs="Calibri" w:eastAsia="Calibri" w:hAnsi="Calibri"/>
                <w:b/>
                <w:bCs/>
                <w:sz w:val="21"/>
                <w:szCs w:val="21"/>
              </w:rPr>
              <w:t xml:space="preserve">Transmission à la descendance</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Non transmise</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Transmise si le gamète muté participe à la fécondation</w:t>
            </w:r>
          </w:p>
        </w:tc>
      </w:tr>
      <w:tr>
        <w:trPr>
          <w:tblHeader w:val="false"/>
        </w:trPr>
        <w:tc>
          <w:tcPr>
            <w:tcW w:type="dxa" w:w="2000"/>
            <w:tcBorders>
              <w:top w:val="single" w:color="9DB7D5" w:sz="4"/>
              <w:left w:val="single" w:color="9DB7D5" w:sz="4"/>
              <w:bottom w:val="single" w:color="9DB7D5" w:sz="4"/>
              <w:right w:val="single" w:color="9DB7D5" w:sz="4"/>
            </w:tcBorders>
            <w:shd w:fill="DEEAF6" w:color="auto" w:val="clear"/>
            <w:tcMar>
              <w:top w:type="dxa" w:w="80"/>
              <w:left w:type="dxa" w:w="120"/>
              <w:bottom w:type="dxa" w:w="80"/>
              <w:right w:type="dxa" w:w="120"/>
            </w:tcMar>
          </w:tcPr>
          <w:p>
            <w:r>
              <w:rPr>
                <w:rFonts w:ascii="Calibri" w:cs="Calibri" w:eastAsia="Calibri" w:hAnsi="Calibri"/>
                <w:b/>
                <w:bCs/>
                <w:sz w:val="21"/>
                <w:szCs w:val="21"/>
              </w:rPr>
              <w:t xml:space="preserve">Conséquences possibles</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Le plus souvent aucun effet ; parfois tumeur, voire cancer</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Nouvel allèle (diversité génétique) ; parfois maladie héréditaire</w:t>
            </w:r>
          </w:p>
        </w:tc>
      </w:tr>
      <w:tr>
        <w:trPr>
          <w:tblHeader w:val="false"/>
        </w:trPr>
        <w:tc>
          <w:tcPr>
            <w:tcW w:type="dxa" w:w="2000"/>
            <w:tcBorders>
              <w:top w:val="single" w:color="9DB7D5" w:sz="4"/>
              <w:left w:val="single" w:color="9DB7D5" w:sz="4"/>
              <w:bottom w:val="single" w:color="9DB7D5" w:sz="4"/>
              <w:right w:val="single" w:color="9DB7D5" w:sz="4"/>
            </w:tcBorders>
            <w:shd w:fill="DEEAF6" w:color="auto" w:val="clear"/>
            <w:tcMar>
              <w:top w:type="dxa" w:w="80"/>
              <w:left w:type="dxa" w:w="120"/>
              <w:bottom w:type="dxa" w:w="80"/>
              <w:right w:type="dxa" w:w="120"/>
            </w:tcMar>
          </w:tcPr>
          <w:p>
            <w:r>
              <w:rPr>
                <w:rFonts w:ascii="Calibri" w:cs="Calibri" w:eastAsia="Calibri" w:hAnsi="Calibri"/>
                <w:b/>
                <w:bCs/>
                <w:sz w:val="21"/>
                <w:szCs w:val="21"/>
              </w:rPr>
              <w:t xml:space="preserve">Exemple (document 2)</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Adénome surrénalien du garçon : mutation de CACNA1D présente uniquement dans la cellule tumorale</w:t>
            </w:r>
          </w:p>
        </w:tc>
        <w:tc>
          <w:tcPr>
            <w:tcW w:type="dxa" w:w="3513"/>
            <w:tcBorders>
              <w:top w:val="single" w:color="9DB7D5" w:sz="4"/>
              <w:left w:val="single" w:color="9DB7D5" w:sz="4"/>
              <w:bottom w:val="single" w:color="9DB7D5" w:sz="4"/>
              <w:right w:val="single" w:color="9DB7D5" w:sz="4"/>
            </w:tcBorders>
            <w:tcMar>
              <w:top w:type="dxa" w:w="80"/>
              <w:left w:type="dxa" w:w="120"/>
              <w:bottom w:type="dxa" w:w="80"/>
              <w:right w:type="dxa" w:w="120"/>
            </w:tcMar>
          </w:tcPr>
          <w:p>
            <w:r>
              <w:rPr>
                <w:rFonts w:ascii="Calibri" w:cs="Calibri" w:eastAsia="Calibri" w:hAnsi="Calibri"/>
                <w:b w:val="false"/>
                <w:bCs w:val="false"/>
                <w:sz w:val="21"/>
                <w:szCs w:val="21"/>
              </w:rPr>
              <w:t xml:space="preserve">Fille malade : mutation de CACNA1D absente chez les parents, présente dans toutes ses cellules</w:t>
            </w:r>
          </w:p>
        </w:tc>
      </w:tr>
    </w:tbl>
    <w:p>
      <w:pPr>
        <w:pStyle w:val="Heading1"/>
        <w:spacing w:after="120" w:before="280"/>
      </w:pPr>
      <w:r>
        <w:rPr>
          <w:rFonts w:ascii="Calibri" w:cs="Calibri" w:eastAsia="Calibri" w:hAnsi="Calibri"/>
          <w:b/>
          <w:bCs/>
          <w:color w:val="1F4E79"/>
          <w:sz w:val="30"/>
          <w:szCs w:val="30"/>
        </w:rPr>
        <w:t xml:space="preserve">Conclusion</w:t>
      </w:r>
    </w:p>
    <w:p>
      <w:pPr>
        <w:spacing w:after="120" w:line="276"/>
      </w:pPr>
      <w:r>
        <w:rPr>
          <w:rFonts w:ascii="Calibri" w:cs="Calibri" w:eastAsia="Calibri" w:hAnsi="Calibri"/>
          <w:sz w:val="22"/>
          <w:szCs w:val="22"/>
        </w:rPr>
        <w:t xml:space="preserve">Les mutations sont des événements aléatoires qui s'accumulent tout au long de la vie, à un rythme de quelques dizaines par cellule et par an. Leurs conséquences dépendent de la cellule touchée. Une mutation somatique forme un clone de cellules mutées limité à l'individu. Elle est le plus souvent sans effet, mais peut parfois provoquer une tumeur, voire un cancer. Une mutation germinale est transmise à la descendance et présente dans toutes les cellules de l'enfant. Elle est à l'origine de nouveaux allèles, donc de la diversité génétique. Elle peut aussi être à l'origine de maladies héréditaires.</w:t>
      </w:r>
    </w:p>
    <w:sectPr>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2026-09-28T14:02:25.680Z</dcterms:created>
  <dcterms:modified xsi:type="dcterms:W3CDTF">2026-09-28T14:02:25.690Z</dcterms:modified>
</cp:coreProperties>
</file>

<file path=docProps/custom.xml><?xml version="1.0" encoding="utf-8"?>
<Properties xmlns="http://schemas.openxmlformats.org/officeDocument/2006/custom-properties" xmlns:vt="http://schemas.openxmlformats.org/officeDocument/2006/docPropsVTypes"/>
</file>