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272520827"/>
        <w:docPartObj>
          <w:docPartGallery w:val="Cover Pages"/>
          <w:docPartUnique/>
        </w:docPartObj>
      </w:sdtPr>
      <w:sdtEndPr>
        <w:rPr>
          <w:color w:val="44546A" w:themeColor="text2"/>
          <w:sz w:val="44"/>
          <w:szCs w:val="44"/>
        </w:rPr>
      </w:sdtEndPr>
      <w:sdtContent>
        <w:p w14:paraId="555272EC" w14:textId="3EDAD73C" w:rsidR="00356F2E" w:rsidRDefault="00ED4F1A" w:rsidP="00A1427C">
          <w:pPr>
            <w:jc w:val="both"/>
          </w:pPr>
          <w:r w:rsidRPr="00F63001">
            <w:rPr>
              <w:noProof/>
              <w:color w:val="44546A" w:themeColor="text2"/>
              <w:lang w:val="de-CH"/>
            </w:rPr>
            <w:drawing>
              <wp:anchor distT="0" distB="0" distL="114300" distR="114300" simplePos="0" relativeHeight="251635712" behindDoc="1" locked="0" layoutInCell="1" allowOverlap="1" wp14:anchorId="740B9A5D" wp14:editId="020DDA17">
                <wp:simplePos x="0" y="0"/>
                <wp:positionH relativeFrom="column">
                  <wp:posOffset>0</wp:posOffset>
                </wp:positionH>
                <wp:positionV relativeFrom="paragraph">
                  <wp:posOffset>-407035</wp:posOffset>
                </wp:positionV>
                <wp:extent cx="1661160" cy="1661160"/>
                <wp:effectExtent l="0" t="0" r="0" b="0"/>
                <wp:wrapNone/>
                <wp:docPr id="966599582" name="Imag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61160" cy="1661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tbl>
          <w:tblPr>
            <w:tblpPr w:leftFromText="187" w:rightFromText="187" w:horzAnchor="margin" w:tblpXSpec="center" w:tblpY="2881"/>
            <w:tblW w:w="5000" w:type="pct"/>
            <w:tblBorders>
              <w:left w:val="single" w:sz="12" w:space="0" w:color="4472C4" w:themeColor="accent1"/>
            </w:tblBorders>
            <w:tblCellMar>
              <w:left w:w="144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5378"/>
            <w:gridCol w:w="3679"/>
          </w:tblGrid>
          <w:tr w:rsidR="008F5641" w14:paraId="0FCFDDE5" w14:textId="5342C4B5" w:rsidTr="008F5641">
            <w:sdt>
              <w:sdtPr>
                <w:rPr>
                  <w:color w:val="323E4F" w:themeColor="text2" w:themeShade="BF"/>
                  <w:sz w:val="24"/>
                  <w:szCs w:val="24"/>
                </w:rPr>
                <w:alias w:val="Société"/>
                <w:id w:val="13406915"/>
                <w:placeholder>
                  <w:docPart w:val="F18B1B0F45AB40CAA935B37EBD830EC6"/>
                </w:placeholder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EndPr/>
              <w:sdtContent>
                <w:tc>
                  <w:tcPr>
                    <w:tcW w:w="5378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14:paraId="570FAF95" w14:textId="0686C2DA" w:rsidR="008F5641" w:rsidRDefault="008F5641" w:rsidP="00A1427C">
                    <w:pPr>
                      <w:pStyle w:val="Sansinterligne"/>
                      <w:jc w:val="both"/>
                      <w:rPr>
                        <w:color w:val="2F5496" w:themeColor="accent1" w:themeShade="BF"/>
                        <w:sz w:val="24"/>
                      </w:rPr>
                    </w:pPr>
                    <w:r w:rsidRPr="00EE6C26">
                      <w:rPr>
                        <w:color w:val="323E4F" w:themeColor="text2" w:themeShade="BF"/>
                        <w:sz w:val="24"/>
                        <w:szCs w:val="24"/>
                      </w:rPr>
                      <w:t>Arpih</w:t>
                    </w:r>
                  </w:p>
                </w:tc>
              </w:sdtContent>
            </w:sdt>
            <w:tc>
              <w:tcPr>
                <w:tcW w:w="3679" w:type="dxa"/>
              </w:tcPr>
              <w:p w14:paraId="438137B5" w14:textId="77777777" w:rsidR="008F5641" w:rsidRDefault="008F5641" w:rsidP="00A1427C">
                <w:pPr>
                  <w:pStyle w:val="Sansinterligne"/>
                  <w:jc w:val="both"/>
                  <w:rPr>
                    <w:color w:val="323E4F" w:themeColor="text2" w:themeShade="BF"/>
                    <w:sz w:val="24"/>
                    <w:szCs w:val="24"/>
                  </w:rPr>
                </w:pPr>
              </w:p>
            </w:tc>
          </w:tr>
          <w:tr w:rsidR="008F5641" w14:paraId="389DD164" w14:textId="04D82AF2" w:rsidTr="008F5641">
            <w:tc>
              <w:tcPr>
                <w:tcW w:w="5378" w:type="dxa"/>
              </w:tcPr>
              <w:sdt>
                <w:sdtPr>
                  <w:rPr>
                    <w:rFonts w:asciiTheme="majorHAnsi" w:eastAsiaTheme="majorEastAsia" w:hAnsiTheme="majorHAnsi" w:cstheme="majorBidi"/>
                    <w:color w:val="222A35" w:themeColor="text2" w:themeShade="80"/>
                    <w:sz w:val="56"/>
                    <w:szCs w:val="56"/>
                  </w:rPr>
                  <w:alias w:val="Titre"/>
                  <w:id w:val="13406919"/>
                  <w:placeholder>
                    <w:docPart w:val="CFE12B6849114CB99BC9E8E226A35472"/>
                  </w:placeholder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EndPr/>
                <w:sdtContent>
                  <w:p w14:paraId="348049D9" w14:textId="1F7F52F1" w:rsidR="008F5641" w:rsidRDefault="005E6272" w:rsidP="008D1565">
                    <w:pPr>
                      <w:pStyle w:val="Sansinterligne"/>
                      <w:spacing w:line="216" w:lineRule="auto"/>
                      <w:rPr>
                        <w:rFonts w:asciiTheme="majorHAnsi" w:eastAsiaTheme="majorEastAsia" w:hAnsiTheme="majorHAnsi" w:cstheme="majorBidi"/>
                        <w:color w:val="4472C4" w:themeColor="accent1"/>
                        <w:sz w:val="88"/>
                        <w:szCs w:val="88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color w:val="222A35" w:themeColor="text2" w:themeShade="80"/>
                        <w:sz w:val="56"/>
                        <w:szCs w:val="56"/>
                      </w:rPr>
                      <w:t>Le</w:t>
                    </w:r>
                    <w:r w:rsidR="00382C33">
                      <w:rPr>
                        <w:rFonts w:asciiTheme="majorHAnsi" w:eastAsiaTheme="majorEastAsia" w:hAnsiTheme="majorHAnsi" w:cstheme="majorBidi"/>
                        <w:color w:val="222A35" w:themeColor="text2" w:themeShade="80"/>
                        <w:sz w:val="56"/>
                        <w:szCs w:val="56"/>
                      </w:rPr>
                      <w:t>s dispositifs sociopro</w:t>
                    </w:r>
                    <w:r w:rsidR="008D1565">
                      <w:rPr>
                        <w:rFonts w:asciiTheme="majorHAnsi" w:eastAsiaTheme="majorEastAsia" w:hAnsiTheme="majorHAnsi" w:cstheme="majorBidi"/>
                        <w:color w:val="222A35" w:themeColor="text2" w:themeShade="80"/>
                        <w:sz w:val="56"/>
                        <w:szCs w:val="56"/>
                      </w:rPr>
                      <w:t>fessionnels</w:t>
                    </w:r>
                  </w:p>
                </w:sdtContent>
              </w:sdt>
            </w:tc>
            <w:tc>
              <w:tcPr>
                <w:tcW w:w="3679" w:type="dxa"/>
              </w:tcPr>
              <w:p w14:paraId="73F4429A" w14:textId="77777777" w:rsidR="008F5641" w:rsidRDefault="008F5641" w:rsidP="00A1427C">
                <w:pPr>
                  <w:pStyle w:val="Sansinterligne"/>
                  <w:spacing w:line="216" w:lineRule="auto"/>
                  <w:jc w:val="both"/>
                  <w:rPr>
                    <w:rFonts w:asciiTheme="majorHAnsi" w:eastAsiaTheme="majorEastAsia" w:hAnsiTheme="majorHAnsi" w:cstheme="majorBidi"/>
                    <w:color w:val="44546A" w:themeColor="text2"/>
                    <w:sz w:val="88"/>
                    <w:szCs w:val="88"/>
                  </w:rPr>
                </w:pPr>
              </w:p>
            </w:tc>
          </w:tr>
          <w:tr w:rsidR="008F5641" w14:paraId="79195D99" w14:textId="79E1E370" w:rsidTr="008F5641">
            <w:sdt>
              <w:sdtPr>
                <w:rPr>
                  <w:color w:val="323E4F" w:themeColor="text2" w:themeShade="BF"/>
                  <w:sz w:val="24"/>
                  <w:szCs w:val="24"/>
                </w:rPr>
                <w:alias w:val="Sous-titre"/>
                <w:id w:val="13406923"/>
                <w:placeholder>
                  <w:docPart w:val="5A5762BC469F41BEB9C73F1E1AF81B58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5378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14:paraId="1976AEB7" w14:textId="235929D7" w:rsidR="008F5641" w:rsidRDefault="008D1565" w:rsidP="00A1427C">
                    <w:pPr>
                      <w:pStyle w:val="Sansinterligne"/>
                      <w:jc w:val="both"/>
                      <w:rPr>
                        <w:color w:val="2F5496" w:themeColor="accent1" w:themeShade="BF"/>
                        <w:sz w:val="24"/>
                      </w:rPr>
                    </w:pPr>
                    <w:r>
                      <w:rPr>
                        <w:color w:val="323E4F" w:themeColor="text2" w:themeShade="BF"/>
                        <w:sz w:val="24"/>
                        <w:szCs w:val="24"/>
                      </w:rPr>
                      <w:t>Les handicaps sensoriels</w:t>
                    </w:r>
                  </w:p>
                </w:tc>
              </w:sdtContent>
            </w:sdt>
            <w:tc>
              <w:tcPr>
                <w:tcW w:w="3679" w:type="dxa"/>
              </w:tcPr>
              <w:p w14:paraId="69DF298F" w14:textId="77777777" w:rsidR="008F5641" w:rsidRDefault="008F5641" w:rsidP="00A1427C">
                <w:pPr>
                  <w:pStyle w:val="Sansinterligne"/>
                  <w:jc w:val="both"/>
                  <w:rPr>
                    <w:color w:val="323E4F" w:themeColor="text2" w:themeShade="BF"/>
                    <w:sz w:val="24"/>
                    <w:szCs w:val="24"/>
                  </w:rPr>
                </w:pPr>
              </w:p>
            </w:tc>
          </w:tr>
        </w:tbl>
        <w:tbl>
          <w:tblPr>
            <w:tblpPr w:leftFromText="187" w:rightFromText="187" w:horzAnchor="margin" w:tblpXSpec="center" w:tblpYSpec="bottom"/>
            <w:tblW w:w="3857" w:type="pct"/>
            <w:tblLook w:val="04A0" w:firstRow="1" w:lastRow="0" w:firstColumn="1" w:lastColumn="0" w:noHBand="0" w:noVBand="1"/>
          </w:tblPr>
          <w:tblGrid>
            <w:gridCol w:w="6998"/>
          </w:tblGrid>
          <w:tr w:rsidR="00356F2E" w14:paraId="04CEDE82" w14:textId="77777777">
            <w:tc>
              <w:tcPr>
                <w:tcW w:w="7221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sdt>
                <w:sdtPr>
                  <w:rPr>
                    <w:color w:val="323E4F" w:themeColor="text2" w:themeShade="BF"/>
                    <w:sz w:val="28"/>
                    <w:szCs w:val="28"/>
                  </w:rPr>
                  <w:alias w:val="Auteur"/>
                  <w:id w:val="13406928"/>
                  <w:placeholder>
                    <w:docPart w:val="FA398DAF88E246C99B44B6CCDA77E664"/>
                  </w:placeholder>
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<w:text/>
                </w:sdtPr>
                <w:sdtEndPr/>
                <w:sdtContent>
                  <w:p w14:paraId="5D289C7C" w14:textId="2B5968FE" w:rsidR="00356F2E" w:rsidRPr="00B53601" w:rsidRDefault="00A17F25" w:rsidP="00A1427C">
                    <w:pPr>
                      <w:pStyle w:val="Sansinterligne"/>
                      <w:jc w:val="both"/>
                      <w:rPr>
                        <w:color w:val="323E4F" w:themeColor="text2" w:themeShade="BF"/>
                        <w:sz w:val="28"/>
                        <w:szCs w:val="28"/>
                      </w:rPr>
                    </w:pPr>
                    <w:proofErr w:type="spellStart"/>
                    <w:r w:rsidRPr="00B53601">
                      <w:rPr>
                        <w:color w:val="323E4F" w:themeColor="text2" w:themeShade="BF"/>
                        <w:sz w:val="28"/>
                        <w:szCs w:val="28"/>
                      </w:rPr>
                      <w:t>Timoté</w:t>
                    </w:r>
                    <w:proofErr w:type="spellEnd"/>
                    <w:r w:rsidRPr="00B53601">
                      <w:rPr>
                        <w:color w:val="323E4F" w:themeColor="text2" w:themeShade="BF"/>
                        <w:sz w:val="28"/>
                        <w:szCs w:val="28"/>
                      </w:rPr>
                      <w:t xml:space="preserve"> </w:t>
                    </w:r>
                    <w:r w:rsidR="00B53601" w:rsidRPr="00B53601">
                      <w:rPr>
                        <w:color w:val="323E4F" w:themeColor="text2" w:themeShade="BF"/>
                        <w:sz w:val="28"/>
                        <w:szCs w:val="28"/>
                      </w:rPr>
                      <w:t>Sonzogni, Florian Scherrer, Dino Moeschler</w:t>
                    </w:r>
                  </w:p>
                </w:sdtContent>
              </w:sdt>
              <w:sdt>
                <w:sdtPr>
                  <w:rPr>
                    <w:color w:val="323E4F" w:themeColor="text2" w:themeShade="BF"/>
                    <w:sz w:val="28"/>
                    <w:szCs w:val="28"/>
                  </w:rPr>
                  <w:alias w:val="Date"/>
                  <w:tag w:val="Date "/>
                  <w:id w:val="13406932"/>
                  <w:placeholder>
                    <w:docPart w:val="E88D9A757BE6458797CE745F2348D7DF"/>
                  </w:placeholder>
                  <w:dataBinding w:prefixMappings="xmlns:ns0='http://schemas.microsoft.com/office/2006/coverPageProps'" w:xpath="/ns0:CoverPageProperties[1]/ns0:PublishDate[1]" w:storeItemID="{55AF091B-3C7A-41E3-B477-F2FDAA23CFDA}"/>
                  <w:date w:fullDate="2025-10-30T00:00:00Z">
                    <w:dateFormat w:val="dd/MM/yyyy"/>
                    <w:lid w:val="fr-FR"/>
                    <w:storeMappedDataAs w:val="dateTime"/>
                    <w:calendar w:val="gregorian"/>
                  </w:date>
                </w:sdtPr>
                <w:sdtEndPr/>
                <w:sdtContent>
                  <w:p w14:paraId="7A081C15" w14:textId="5AB84C34" w:rsidR="00356F2E" w:rsidRPr="00B53601" w:rsidRDefault="00B53601" w:rsidP="00A1427C">
                    <w:pPr>
                      <w:pStyle w:val="Sansinterligne"/>
                      <w:jc w:val="both"/>
                      <w:rPr>
                        <w:color w:val="323E4F" w:themeColor="text2" w:themeShade="BF"/>
                        <w:sz w:val="28"/>
                        <w:szCs w:val="28"/>
                      </w:rPr>
                    </w:pPr>
                    <w:r w:rsidRPr="00B53601">
                      <w:rPr>
                        <w:color w:val="323E4F" w:themeColor="text2" w:themeShade="BF"/>
                        <w:sz w:val="28"/>
                        <w:szCs w:val="28"/>
                        <w:lang w:val="fr-FR"/>
                      </w:rPr>
                      <w:t>30/10/2025</w:t>
                    </w:r>
                  </w:p>
                </w:sdtContent>
              </w:sdt>
              <w:p w14:paraId="242A4612" w14:textId="77777777" w:rsidR="00356F2E" w:rsidRDefault="00356F2E" w:rsidP="00A1427C">
                <w:pPr>
                  <w:pStyle w:val="Sansinterligne"/>
                  <w:jc w:val="both"/>
                  <w:rPr>
                    <w:color w:val="4472C4" w:themeColor="accent1"/>
                  </w:rPr>
                </w:pPr>
              </w:p>
            </w:tc>
          </w:tr>
        </w:tbl>
        <w:p w14:paraId="196A1A21" w14:textId="7F6F296B" w:rsidR="00546F04" w:rsidRDefault="00546F04" w:rsidP="00A1427C">
          <w:pPr>
            <w:jc w:val="both"/>
            <w:rPr>
              <w:noProof/>
            </w:rPr>
          </w:pPr>
        </w:p>
        <w:p w14:paraId="5CB6366A" w14:textId="3002A0F1" w:rsidR="00356F2E" w:rsidRDefault="00356F2E" w:rsidP="00A1427C">
          <w:pPr>
            <w:jc w:val="both"/>
            <w:rPr>
              <w:rFonts w:asciiTheme="majorHAnsi" w:eastAsiaTheme="majorEastAsia" w:hAnsiTheme="majorHAnsi" w:cstheme="majorBidi"/>
              <w:color w:val="44546A" w:themeColor="text2"/>
              <w:sz w:val="44"/>
              <w:szCs w:val="44"/>
            </w:rPr>
          </w:pPr>
          <w:r>
            <w:rPr>
              <w:color w:val="44546A" w:themeColor="text2"/>
              <w:sz w:val="44"/>
              <w:szCs w:val="44"/>
            </w:rPr>
            <w:br w:type="page"/>
          </w:r>
        </w:p>
      </w:sdtContent>
    </w:sdt>
    <w:p w14:paraId="24F814C7" w14:textId="24C491A2" w:rsidR="00DC5B76" w:rsidRDefault="00DC5B76" w:rsidP="00DC5B76">
      <w:pPr>
        <w:pStyle w:val="Titre1"/>
      </w:pPr>
      <w:bookmarkStart w:id="0" w:name="_Toc214010886"/>
      <w:r>
        <w:lastRenderedPageBreak/>
        <w:t>Le contraste</w:t>
      </w:r>
      <w:bookmarkEnd w:id="0"/>
    </w:p>
    <w:p w14:paraId="38AECB93" w14:textId="5F1ACB92" w:rsidR="00DC5B76" w:rsidRDefault="00DC5B76" w:rsidP="00C31CC1">
      <w:pPr>
        <w:pStyle w:val="Titre3"/>
      </w:pPr>
      <w:bookmarkStart w:id="1" w:name="_Toc214010887"/>
      <w:r>
        <w:t>Interrupteurs à variateur et prises de courant</w:t>
      </w:r>
      <w:bookmarkEnd w:id="1"/>
    </w:p>
    <w:tbl>
      <w:tblPr>
        <w:tblStyle w:val="Grilledutableau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DC5B76" w14:paraId="62EF62FC" w14:textId="77777777" w:rsidTr="00C31CC1">
        <w:trPr>
          <w:trHeight w:val="2714"/>
        </w:trPr>
        <w:tc>
          <w:tcPr>
            <w:tcW w:w="4531" w:type="dxa"/>
            <w:vAlign w:val="center"/>
          </w:tcPr>
          <w:p w14:paraId="10764B9A" w14:textId="77777777" w:rsidR="00DC5B76" w:rsidRDefault="00C31CC1" w:rsidP="00C31C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31CF3D7" wp14:editId="5D2E1BAA">
                  <wp:extent cx="2529840" cy="2536190"/>
                  <wp:effectExtent l="0" t="0" r="3810" b="0"/>
                  <wp:docPr id="59700980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840" cy="2536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D3D86B5" w14:textId="4CE834E1" w:rsidR="00C31CC1" w:rsidRDefault="00C31CC1" w:rsidP="00C31CC1">
            <w:pPr>
              <w:jc w:val="center"/>
            </w:pPr>
          </w:p>
        </w:tc>
        <w:tc>
          <w:tcPr>
            <w:tcW w:w="4531" w:type="dxa"/>
            <w:vAlign w:val="center"/>
          </w:tcPr>
          <w:p w14:paraId="7C65A81D" w14:textId="56C15B1E" w:rsidR="00DC5B76" w:rsidRDefault="00C31CC1" w:rsidP="00C31CC1">
            <w:r>
              <w:t>Interrupteurs à variation d’intensité sur support contrasté</w:t>
            </w:r>
          </w:p>
        </w:tc>
      </w:tr>
      <w:tr w:rsidR="00DC5B76" w14:paraId="316C9744" w14:textId="77777777" w:rsidTr="00C31CC1">
        <w:tc>
          <w:tcPr>
            <w:tcW w:w="4531" w:type="dxa"/>
            <w:vAlign w:val="center"/>
          </w:tcPr>
          <w:p w14:paraId="499EEBA3" w14:textId="77777777" w:rsidR="00DC5B76" w:rsidRDefault="00C31CC1" w:rsidP="00C31C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3B2ED42" wp14:editId="577762FC">
                  <wp:extent cx="2529840" cy="2536190"/>
                  <wp:effectExtent l="0" t="0" r="3810" b="0"/>
                  <wp:docPr id="250250377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840" cy="2536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4B54088" w14:textId="1A1D49E5" w:rsidR="00C31CC1" w:rsidRDefault="00C31CC1" w:rsidP="00C31CC1">
            <w:pPr>
              <w:jc w:val="center"/>
            </w:pPr>
          </w:p>
        </w:tc>
        <w:tc>
          <w:tcPr>
            <w:tcW w:w="4531" w:type="dxa"/>
            <w:vAlign w:val="center"/>
          </w:tcPr>
          <w:p w14:paraId="087952DD" w14:textId="6BDD0EC5" w:rsidR="00DC5B76" w:rsidRDefault="00C31CC1" w:rsidP="00DC5B76">
            <w:r>
              <w:t>Prise sur support contrasté</w:t>
            </w:r>
          </w:p>
        </w:tc>
      </w:tr>
    </w:tbl>
    <w:p w14:paraId="23237AE0" w14:textId="06BD9C11" w:rsidR="00DC5B76" w:rsidRDefault="00C31CC1" w:rsidP="00C31CC1">
      <w:pPr>
        <w:pStyle w:val="Titre3"/>
      </w:pPr>
      <w:bookmarkStart w:id="2" w:name="_Toc214010888"/>
      <w:r>
        <w:lastRenderedPageBreak/>
        <w:t>La signalétique</w:t>
      </w:r>
      <w:bookmarkEnd w:id="2"/>
    </w:p>
    <w:tbl>
      <w:tblPr>
        <w:tblStyle w:val="Grilledutableau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C31CC1" w14:paraId="214AA3FA" w14:textId="77777777" w:rsidTr="006423B9">
        <w:tc>
          <w:tcPr>
            <w:tcW w:w="4531" w:type="dxa"/>
          </w:tcPr>
          <w:p w14:paraId="5F1796D2" w14:textId="77777777" w:rsidR="00C31CC1" w:rsidRDefault="00C31CC1" w:rsidP="00C31C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FC55EA2" wp14:editId="5EFF0227">
                  <wp:extent cx="2529840" cy="2536190"/>
                  <wp:effectExtent l="0" t="0" r="3810" b="0"/>
                  <wp:docPr id="1011937737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840" cy="2536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ED01656" w14:textId="7802748C" w:rsidR="00C31CC1" w:rsidRDefault="00C31CC1" w:rsidP="00C31CC1">
            <w:pPr>
              <w:jc w:val="center"/>
            </w:pPr>
          </w:p>
        </w:tc>
        <w:tc>
          <w:tcPr>
            <w:tcW w:w="4531" w:type="dxa"/>
            <w:vAlign w:val="center"/>
          </w:tcPr>
          <w:p w14:paraId="4FF5BC6E" w14:textId="3DEE204D" w:rsidR="00C31CC1" w:rsidRDefault="00C31CC1" w:rsidP="00C31CC1">
            <w:r>
              <w:t>Décoration contrastée utilisée comme repère spatial</w:t>
            </w:r>
          </w:p>
        </w:tc>
      </w:tr>
      <w:tr w:rsidR="00C31CC1" w14:paraId="3D691335" w14:textId="77777777" w:rsidTr="006423B9">
        <w:tc>
          <w:tcPr>
            <w:tcW w:w="4531" w:type="dxa"/>
          </w:tcPr>
          <w:p w14:paraId="3C6DE8DB" w14:textId="77777777" w:rsidR="00C31CC1" w:rsidRDefault="00C31CC1" w:rsidP="00C31CC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F163696" wp14:editId="52CA9592">
                  <wp:extent cx="2529840" cy="2536190"/>
                  <wp:effectExtent l="0" t="0" r="3810" b="0"/>
                  <wp:docPr id="1572244044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840" cy="2536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E561BEA" w14:textId="40D8E5FE" w:rsidR="00C31CC1" w:rsidRDefault="00C31CC1" w:rsidP="00C31CC1">
            <w:pPr>
              <w:jc w:val="center"/>
              <w:rPr>
                <w:noProof/>
              </w:rPr>
            </w:pPr>
          </w:p>
        </w:tc>
        <w:tc>
          <w:tcPr>
            <w:tcW w:w="4531" w:type="dxa"/>
            <w:vAlign w:val="center"/>
          </w:tcPr>
          <w:p w14:paraId="0879A2D9" w14:textId="73A51823" w:rsidR="00C31CC1" w:rsidRDefault="00C31CC1" w:rsidP="00C31CC1">
            <w:r>
              <w:t>Signalétique contrastée comme repère de salle</w:t>
            </w:r>
          </w:p>
        </w:tc>
      </w:tr>
      <w:tr w:rsidR="00C31CC1" w14:paraId="3A12478F" w14:textId="77777777" w:rsidTr="006423B9">
        <w:tc>
          <w:tcPr>
            <w:tcW w:w="4531" w:type="dxa"/>
            <w:vAlign w:val="center"/>
          </w:tcPr>
          <w:p w14:paraId="4CDEC95E" w14:textId="77777777" w:rsidR="00C31CC1" w:rsidRDefault="00C31CC1" w:rsidP="00C31CC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CE7E151" wp14:editId="0E8930C5">
                  <wp:extent cx="2529840" cy="2536190"/>
                  <wp:effectExtent l="0" t="0" r="3810" b="0"/>
                  <wp:docPr id="126165022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840" cy="2536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B8C1C61" w14:textId="4020B0AF" w:rsidR="00C31CC1" w:rsidRDefault="00C31CC1" w:rsidP="00C31CC1">
            <w:pPr>
              <w:jc w:val="center"/>
              <w:rPr>
                <w:noProof/>
              </w:rPr>
            </w:pPr>
          </w:p>
        </w:tc>
        <w:tc>
          <w:tcPr>
            <w:tcW w:w="4531" w:type="dxa"/>
            <w:vAlign w:val="center"/>
          </w:tcPr>
          <w:p w14:paraId="29298CFB" w14:textId="7ED9A67D" w:rsidR="00C31CC1" w:rsidRDefault="00C31CC1" w:rsidP="00C31CC1">
            <w:r>
              <w:t>Indicateur de voie d’accès contrasté</w:t>
            </w:r>
          </w:p>
        </w:tc>
      </w:tr>
      <w:tr w:rsidR="006423B9" w14:paraId="0F16EEE0" w14:textId="77777777" w:rsidTr="006423B9">
        <w:tc>
          <w:tcPr>
            <w:tcW w:w="4531" w:type="dxa"/>
            <w:vAlign w:val="center"/>
          </w:tcPr>
          <w:p w14:paraId="26336D08" w14:textId="77777777" w:rsidR="006423B9" w:rsidRDefault="006423B9" w:rsidP="00C31CC1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15DD3C8" wp14:editId="1626B671">
                  <wp:extent cx="2529840" cy="2536190"/>
                  <wp:effectExtent l="0" t="0" r="3810" b="0"/>
                  <wp:docPr id="16143700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840" cy="2536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51D0C91" w14:textId="6631CED6" w:rsidR="006423B9" w:rsidRDefault="006423B9" w:rsidP="00C31CC1">
            <w:pPr>
              <w:jc w:val="center"/>
              <w:rPr>
                <w:noProof/>
              </w:rPr>
            </w:pPr>
          </w:p>
        </w:tc>
        <w:tc>
          <w:tcPr>
            <w:tcW w:w="4531" w:type="dxa"/>
            <w:vAlign w:val="center"/>
          </w:tcPr>
          <w:p w14:paraId="1677DAF0" w14:textId="2A8CFBF7" w:rsidR="006423B9" w:rsidRDefault="006423B9" w:rsidP="00C31CC1">
            <w:r>
              <w:t>Autocollant contrasté sur surface transparente : moyen préventif</w:t>
            </w:r>
          </w:p>
        </w:tc>
      </w:tr>
    </w:tbl>
    <w:p w14:paraId="4FB25041" w14:textId="730092CB" w:rsidR="00C31CC1" w:rsidRDefault="00AB1923" w:rsidP="00B45177">
      <w:pPr>
        <w:pStyle w:val="Titre1"/>
      </w:pPr>
      <w:bookmarkStart w:id="3" w:name="_Toc214010889"/>
      <w:r>
        <w:t>Le relief</w:t>
      </w:r>
      <w:bookmarkEnd w:id="3"/>
    </w:p>
    <w:p w14:paraId="3E3B88DF" w14:textId="1A1C091D" w:rsidR="00B45177" w:rsidRPr="00B45177" w:rsidRDefault="00B45177" w:rsidP="00B45177">
      <w:pPr>
        <w:pStyle w:val="Titre3"/>
      </w:pPr>
      <w:bookmarkStart w:id="4" w:name="_Toc214010890"/>
      <w:r>
        <w:t>Les repère spatiaux</w:t>
      </w:r>
      <w:bookmarkEnd w:id="4"/>
    </w:p>
    <w:tbl>
      <w:tblPr>
        <w:tblStyle w:val="Grilledutableau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AB1923" w14:paraId="163ADAB8" w14:textId="77777777" w:rsidTr="00AB1923">
        <w:tc>
          <w:tcPr>
            <w:tcW w:w="4531" w:type="dxa"/>
          </w:tcPr>
          <w:p w14:paraId="7D880129" w14:textId="77777777" w:rsidR="00AB1923" w:rsidRDefault="00AB1923" w:rsidP="00AB192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C380B44" wp14:editId="591C62DE">
                  <wp:extent cx="2529840" cy="2536190"/>
                  <wp:effectExtent l="0" t="0" r="3810" b="0"/>
                  <wp:docPr id="1474814531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840" cy="2536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19EA192" w14:textId="3109BDE2" w:rsidR="00AB1923" w:rsidRDefault="00AB1923" w:rsidP="00AB1923">
            <w:pPr>
              <w:jc w:val="center"/>
            </w:pPr>
          </w:p>
        </w:tc>
        <w:tc>
          <w:tcPr>
            <w:tcW w:w="4531" w:type="dxa"/>
            <w:vAlign w:val="center"/>
          </w:tcPr>
          <w:p w14:paraId="6DA962A9" w14:textId="52B4778E" w:rsidR="00AB1923" w:rsidRDefault="00AB1923" w:rsidP="00AB1923">
            <w:r>
              <w:t>Repère spatial en relief</w:t>
            </w:r>
          </w:p>
        </w:tc>
      </w:tr>
      <w:tr w:rsidR="00AB1923" w14:paraId="7F35DE87" w14:textId="77777777" w:rsidTr="00AB1923">
        <w:tc>
          <w:tcPr>
            <w:tcW w:w="4531" w:type="dxa"/>
          </w:tcPr>
          <w:p w14:paraId="49008C16" w14:textId="77777777" w:rsidR="00AB1923" w:rsidRDefault="00AB1923" w:rsidP="00AB1923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FC3CDEE" wp14:editId="06E55847">
                  <wp:extent cx="2529840" cy="2536190"/>
                  <wp:effectExtent l="0" t="0" r="3810" b="0"/>
                  <wp:docPr id="1498228608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840" cy="2536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AE578EB" w14:textId="27784F92" w:rsidR="00AB1923" w:rsidRDefault="00AB1923" w:rsidP="00AB1923">
            <w:pPr>
              <w:jc w:val="center"/>
            </w:pPr>
          </w:p>
        </w:tc>
        <w:tc>
          <w:tcPr>
            <w:tcW w:w="4531" w:type="dxa"/>
            <w:vAlign w:val="center"/>
          </w:tcPr>
          <w:p w14:paraId="005CB26E" w14:textId="7F46AC16" w:rsidR="00AB1923" w:rsidRDefault="00AB1923" w:rsidP="00AB1923">
            <w:r>
              <w:t>Repère spatial en relief, la différenciation par les points autours du cercle</w:t>
            </w:r>
          </w:p>
        </w:tc>
      </w:tr>
      <w:tr w:rsidR="00AB1923" w14:paraId="3DD72FBF" w14:textId="77777777" w:rsidTr="00AB1923">
        <w:tc>
          <w:tcPr>
            <w:tcW w:w="4531" w:type="dxa"/>
          </w:tcPr>
          <w:p w14:paraId="14974889" w14:textId="77777777" w:rsidR="00AB1923" w:rsidRDefault="00AB1923" w:rsidP="00AB192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1E7BED7" wp14:editId="7D348E0B">
                  <wp:extent cx="2529840" cy="2536190"/>
                  <wp:effectExtent l="0" t="0" r="3810" b="0"/>
                  <wp:docPr id="549580895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840" cy="2536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0A6E691" w14:textId="643A414B" w:rsidR="00AB1923" w:rsidRDefault="00AB1923" w:rsidP="00AB1923">
            <w:pPr>
              <w:jc w:val="center"/>
            </w:pPr>
          </w:p>
        </w:tc>
        <w:tc>
          <w:tcPr>
            <w:tcW w:w="4531" w:type="dxa"/>
            <w:vAlign w:val="center"/>
          </w:tcPr>
          <w:p w14:paraId="2DE824C4" w14:textId="397C6DF2" w:rsidR="00AB1923" w:rsidRDefault="00AB1923" w:rsidP="00AB1923">
            <w:r>
              <w:t>Repère spatial, sur fond contrasté, en relief</w:t>
            </w:r>
          </w:p>
        </w:tc>
      </w:tr>
      <w:tr w:rsidR="00AD1DBF" w14:paraId="6542F5FC" w14:textId="77777777" w:rsidTr="00AB1923">
        <w:tc>
          <w:tcPr>
            <w:tcW w:w="4531" w:type="dxa"/>
          </w:tcPr>
          <w:p w14:paraId="5130AB1D" w14:textId="77777777" w:rsidR="00AD1DBF" w:rsidRDefault="00AD1DBF" w:rsidP="00AB192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D22F7E9" wp14:editId="2CBA9013">
                  <wp:extent cx="2529840" cy="2536190"/>
                  <wp:effectExtent l="0" t="0" r="3810" b="0"/>
                  <wp:docPr id="1110369424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840" cy="2536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A88FA6A" w14:textId="0C35F9FA" w:rsidR="00AD1DBF" w:rsidRDefault="00AD1DBF" w:rsidP="00AB1923">
            <w:pPr>
              <w:jc w:val="center"/>
              <w:rPr>
                <w:noProof/>
              </w:rPr>
            </w:pPr>
          </w:p>
        </w:tc>
        <w:tc>
          <w:tcPr>
            <w:tcW w:w="4531" w:type="dxa"/>
            <w:vAlign w:val="center"/>
          </w:tcPr>
          <w:p w14:paraId="03FB92FF" w14:textId="0A7EB74A" w:rsidR="00AD1DBF" w:rsidRDefault="00AD1DBF" w:rsidP="00AB1923">
            <w:r>
              <w:t>Bandes rugueuses, la pleine indique la première marche, les autres les marches suivantes</w:t>
            </w:r>
          </w:p>
        </w:tc>
      </w:tr>
    </w:tbl>
    <w:p w14:paraId="0EE5362C" w14:textId="797120A1" w:rsidR="00AB1923" w:rsidRDefault="00AB1923" w:rsidP="00AB1923">
      <w:pPr>
        <w:pStyle w:val="Titre3"/>
      </w:pPr>
      <w:bookmarkStart w:id="5" w:name="_Toc214010891"/>
      <w:r>
        <w:lastRenderedPageBreak/>
        <w:t>Les objets</w:t>
      </w:r>
      <w:bookmarkEnd w:id="5"/>
    </w:p>
    <w:tbl>
      <w:tblPr>
        <w:tblStyle w:val="Grilledutableau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AB1923" w14:paraId="72088431" w14:textId="77777777" w:rsidTr="00EE79D9">
        <w:tc>
          <w:tcPr>
            <w:tcW w:w="4531" w:type="dxa"/>
          </w:tcPr>
          <w:p w14:paraId="199C6F6A" w14:textId="77777777" w:rsidR="00AB1923" w:rsidRDefault="00AB1923" w:rsidP="00AB192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9F5651B" wp14:editId="5240FA4B">
                  <wp:extent cx="2529840" cy="2536190"/>
                  <wp:effectExtent l="0" t="0" r="3810" b="0"/>
                  <wp:docPr id="501231888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840" cy="2536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6E36263" w14:textId="21CF0184" w:rsidR="00AB1923" w:rsidRDefault="00AB1923" w:rsidP="00AB1923">
            <w:pPr>
              <w:jc w:val="center"/>
            </w:pPr>
          </w:p>
        </w:tc>
        <w:tc>
          <w:tcPr>
            <w:tcW w:w="4531" w:type="dxa"/>
            <w:vAlign w:val="center"/>
          </w:tcPr>
          <w:p w14:paraId="5C422EC1" w14:textId="7501404C" w:rsidR="00AB1923" w:rsidRDefault="00AB1923" w:rsidP="00AB1923">
            <w:r>
              <w:t>Objet sur poignée de porte comme repère tactile</w:t>
            </w:r>
          </w:p>
        </w:tc>
      </w:tr>
      <w:tr w:rsidR="00AB1923" w14:paraId="3614BDAC" w14:textId="77777777" w:rsidTr="00EE79D9">
        <w:tc>
          <w:tcPr>
            <w:tcW w:w="4531" w:type="dxa"/>
          </w:tcPr>
          <w:p w14:paraId="536A90C2" w14:textId="77777777" w:rsidR="00AB1923" w:rsidRDefault="00055393" w:rsidP="00AB192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D121D9A" wp14:editId="57CF8436">
                  <wp:extent cx="2529840" cy="2536190"/>
                  <wp:effectExtent l="0" t="0" r="3810" b="0"/>
                  <wp:docPr id="314665314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840" cy="2536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BC44316" w14:textId="4F0FE1EF" w:rsidR="00055393" w:rsidRDefault="00055393" w:rsidP="00AB1923">
            <w:pPr>
              <w:jc w:val="center"/>
            </w:pPr>
          </w:p>
        </w:tc>
        <w:tc>
          <w:tcPr>
            <w:tcW w:w="4531" w:type="dxa"/>
            <w:vAlign w:val="center"/>
          </w:tcPr>
          <w:p w14:paraId="434E836D" w14:textId="3835D735" w:rsidR="00AB1923" w:rsidRDefault="00055393" w:rsidP="00AB1923">
            <w:r>
              <w:t>Objet sur porte comme repère tactile</w:t>
            </w:r>
          </w:p>
        </w:tc>
      </w:tr>
      <w:tr w:rsidR="00AB1923" w14:paraId="6C0BF410" w14:textId="77777777" w:rsidTr="00EE79D9">
        <w:tc>
          <w:tcPr>
            <w:tcW w:w="4531" w:type="dxa"/>
          </w:tcPr>
          <w:p w14:paraId="5FE7FA8F" w14:textId="77777777" w:rsidR="00AB1923" w:rsidRDefault="00055393" w:rsidP="00AB192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113F608" wp14:editId="6FFFFC3B">
                  <wp:extent cx="2529840" cy="2536190"/>
                  <wp:effectExtent l="0" t="0" r="3810" b="0"/>
                  <wp:docPr id="156014291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840" cy="2536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4BD377D" w14:textId="4A7C4A89" w:rsidR="00055393" w:rsidRDefault="00055393" w:rsidP="00AB1923">
            <w:pPr>
              <w:jc w:val="center"/>
            </w:pPr>
          </w:p>
        </w:tc>
        <w:tc>
          <w:tcPr>
            <w:tcW w:w="4531" w:type="dxa"/>
            <w:vAlign w:val="center"/>
          </w:tcPr>
          <w:p w14:paraId="7A06A59A" w14:textId="191F3B4E" w:rsidR="00AB1923" w:rsidRDefault="00055393" w:rsidP="00AB1923">
            <w:r>
              <w:t>Objet sur main courante comme repère tactile</w:t>
            </w:r>
          </w:p>
        </w:tc>
      </w:tr>
      <w:tr w:rsidR="00AB1923" w14:paraId="5B12E0DF" w14:textId="77777777" w:rsidTr="00EE79D9">
        <w:tc>
          <w:tcPr>
            <w:tcW w:w="4531" w:type="dxa"/>
          </w:tcPr>
          <w:p w14:paraId="084D0BF9" w14:textId="77777777" w:rsidR="00AB1923" w:rsidRDefault="00055393" w:rsidP="00AB1923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6848D89" wp14:editId="4C95426E">
                  <wp:extent cx="2529840" cy="2536190"/>
                  <wp:effectExtent l="0" t="0" r="3810" b="0"/>
                  <wp:docPr id="185844092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840" cy="2536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19EF20A" w14:textId="15226695" w:rsidR="00055393" w:rsidRDefault="00055393" w:rsidP="00AB1923">
            <w:pPr>
              <w:jc w:val="center"/>
            </w:pPr>
          </w:p>
        </w:tc>
        <w:tc>
          <w:tcPr>
            <w:tcW w:w="4531" w:type="dxa"/>
            <w:vAlign w:val="center"/>
          </w:tcPr>
          <w:p w14:paraId="69B83695" w14:textId="07F144A1" w:rsidR="00AB1923" w:rsidRDefault="00055393" w:rsidP="00AB1923">
            <w:r>
              <w:t>Objet sur main courante et poignée de porte comme repère tactile</w:t>
            </w:r>
          </w:p>
        </w:tc>
      </w:tr>
      <w:tr w:rsidR="00AB1923" w14:paraId="22786005" w14:textId="77777777" w:rsidTr="00EE79D9">
        <w:tc>
          <w:tcPr>
            <w:tcW w:w="4531" w:type="dxa"/>
          </w:tcPr>
          <w:p w14:paraId="3FDF8B9B" w14:textId="77777777" w:rsidR="00AB1923" w:rsidRDefault="00055393" w:rsidP="00AB192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5ABBD45" wp14:editId="7D3397B3">
                  <wp:extent cx="2529840" cy="2536190"/>
                  <wp:effectExtent l="0" t="0" r="3810" b="0"/>
                  <wp:docPr id="305804779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840" cy="2536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E49B6AE" w14:textId="3F4FAFFC" w:rsidR="00055393" w:rsidRDefault="00055393" w:rsidP="00AB1923">
            <w:pPr>
              <w:jc w:val="center"/>
            </w:pPr>
          </w:p>
        </w:tc>
        <w:tc>
          <w:tcPr>
            <w:tcW w:w="4531" w:type="dxa"/>
            <w:vAlign w:val="center"/>
          </w:tcPr>
          <w:p w14:paraId="6CF23216" w14:textId="7612ACCC" w:rsidR="00AB1923" w:rsidRDefault="00055393" w:rsidP="00AB1923">
            <w:r>
              <w:t>Repère sur main courante et à côté comme repère tactile</w:t>
            </w:r>
          </w:p>
        </w:tc>
      </w:tr>
      <w:tr w:rsidR="00AB1923" w14:paraId="001E489A" w14:textId="77777777" w:rsidTr="00EE79D9">
        <w:tc>
          <w:tcPr>
            <w:tcW w:w="4531" w:type="dxa"/>
          </w:tcPr>
          <w:p w14:paraId="50B5501A" w14:textId="77777777" w:rsidR="00055393" w:rsidRDefault="00EE79D9" w:rsidP="00EE79D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39D5636" wp14:editId="6B88977A">
                  <wp:extent cx="2529840" cy="2536190"/>
                  <wp:effectExtent l="0" t="0" r="3810" b="0"/>
                  <wp:docPr id="742505868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840" cy="2536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F085430" w14:textId="72280E51" w:rsidR="00EE79D9" w:rsidRDefault="00EE79D9" w:rsidP="00EE79D9">
            <w:pPr>
              <w:jc w:val="center"/>
            </w:pPr>
          </w:p>
        </w:tc>
        <w:tc>
          <w:tcPr>
            <w:tcW w:w="4531" w:type="dxa"/>
            <w:vAlign w:val="center"/>
          </w:tcPr>
          <w:p w14:paraId="7D92B45D" w14:textId="02DA7F7D" w:rsidR="00AB1923" w:rsidRDefault="00EE79D9" w:rsidP="00AB1923">
            <w:r>
              <w:t>Repère sur main courante comme indicateur de passage en face (porte, escalier, couloir…)</w:t>
            </w:r>
          </w:p>
        </w:tc>
      </w:tr>
    </w:tbl>
    <w:p w14:paraId="43B5BA23" w14:textId="218F646A" w:rsidR="00AD1DBF" w:rsidRDefault="00AD1DBF" w:rsidP="00AD1DBF">
      <w:pPr>
        <w:pStyle w:val="Titre1"/>
      </w:pPr>
      <w:bookmarkStart w:id="6" w:name="_Toc214010892"/>
      <w:r>
        <w:lastRenderedPageBreak/>
        <w:t>La lumière</w:t>
      </w:r>
      <w:bookmarkEnd w:id="6"/>
    </w:p>
    <w:tbl>
      <w:tblPr>
        <w:tblStyle w:val="Grilledutableau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AD1DBF" w14:paraId="3C39F671" w14:textId="77777777" w:rsidTr="00AD1DBF">
        <w:tc>
          <w:tcPr>
            <w:tcW w:w="4531" w:type="dxa"/>
          </w:tcPr>
          <w:p w14:paraId="0BCA4073" w14:textId="77777777" w:rsidR="00AD1DBF" w:rsidRDefault="00AD1DBF" w:rsidP="00AD1DB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E852AD2" wp14:editId="6150FA02">
                  <wp:extent cx="2529840" cy="2536190"/>
                  <wp:effectExtent l="0" t="0" r="3810" b="0"/>
                  <wp:docPr id="260445670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840" cy="2536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2FA9189" w14:textId="7A941689" w:rsidR="00AD1DBF" w:rsidRDefault="00AD1DBF" w:rsidP="00AD1DBF">
            <w:pPr>
              <w:jc w:val="center"/>
            </w:pPr>
          </w:p>
        </w:tc>
        <w:tc>
          <w:tcPr>
            <w:tcW w:w="4531" w:type="dxa"/>
            <w:vAlign w:val="center"/>
          </w:tcPr>
          <w:p w14:paraId="71AE0670" w14:textId="041B9463" w:rsidR="00AD1DBF" w:rsidRDefault="00AD1DBF" w:rsidP="00AD1DBF">
            <w:r>
              <w:t>Chemin lumineux au plafond</w:t>
            </w:r>
          </w:p>
        </w:tc>
      </w:tr>
    </w:tbl>
    <w:p w14:paraId="093E0AA1" w14:textId="77777777" w:rsidR="00AD1DBF" w:rsidRPr="00AD1DBF" w:rsidRDefault="00AD1DBF" w:rsidP="00AD1DBF"/>
    <w:p w14:paraId="61611540" w14:textId="71757FD3" w:rsidR="00B45177" w:rsidRDefault="00B45177" w:rsidP="00B45177">
      <w:pPr>
        <w:pStyle w:val="Titre1"/>
      </w:pPr>
      <w:bookmarkStart w:id="7" w:name="_Toc214010893"/>
      <w:r>
        <w:t>Association d’idées à objets</w:t>
      </w:r>
      <w:bookmarkEnd w:id="7"/>
    </w:p>
    <w:p w14:paraId="3788A70D" w14:textId="40964EFD" w:rsidR="00AB1923" w:rsidRDefault="00EE79D9" w:rsidP="00EE79D9">
      <w:pPr>
        <w:pStyle w:val="Titre3"/>
      </w:pPr>
      <w:bookmarkStart w:id="8" w:name="_Toc214010894"/>
      <w:r>
        <w:t xml:space="preserve">Association objet </w:t>
      </w:r>
      <w:r>
        <w:rPr>
          <w:rFonts w:cstheme="minorHAnsi"/>
        </w:rPr>
        <w:t>→</w:t>
      </w:r>
      <w:r>
        <w:t xml:space="preserve"> personne/activité</w:t>
      </w:r>
      <w:bookmarkEnd w:id="8"/>
    </w:p>
    <w:tbl>
      <w:tblPr>
        <w:tblStyle w:val="Grilledutableau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305DD0" w14:paraId="293D743F" w14:textId="77777777" w:rsidTr="00B45177">
        <w:tc>
          <w:tcPr>
            <w:tcW w:w="4531" w:type="dxa"/>
          </w:tcPr>
          <w:p w14:paraId="2E5F57DB" w14:textId="77777777" w:rsidR="00305DD0" w:rsidRDefault="00305DD0" w:rsidP="00305DD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6DBCFA4" wp14:editId="3D6C1E41">
                  <wp:extent cx="2529840" cy="2536190"/>
                  <wp:effectExtent l="0" t="0" r="3810" b="0"/>
                  <wp:docPr id="1722374310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840" cy="2536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2FA1DE8" w14:textId="77D16612" w:rsidR="00305DD0" w:rsidRDefault="00305DD0" w:rsidP="00305DD0">
            <w:pPr>
              <w:jc w:val="center"/>
            </w:pPr>
          </w:p>
        </w:tc>
        <w:tc>
          <w:tcPr>
            <w:tcW w:w="4531" w:type="dxa"/>
            <w:vAlign w:val="center"/>
          </w:tcPr>
          <w:p w14:paraId="505A09F9" w14:textId="48FEEABD" w:rsidR="00305DD0" w:rsidRDefault="00305DD0" w:rsidP="00EE79D9">
            <w:r>
              <w:t>Objets repères associés à une activité</w:t>
            </w:r>
          </w:p>
        </w:tc>
      </w:tr>
      <w:tr w:rsidR="00305DD0" w14:paraId="071571E8" w14:textId="77777777" w:rsidTr="00B45177">
        <w:tc>
          <w:tcPr>
            <w:tcW w:w="4531" w:type="dxa"/>
          </w:tcPr>
          <w:p w14:paraId="3A258118" w14:textId="77777777" w:rsidR="00305DD0" w:rsidRDefault="00305DD0" w:rsidP="00305DD0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3A4F155" wp14:editId="0AD66C25">
                  <wp:extent cx="2529840" cy="2536190"/>
                  <wp:effectExtent l="0" t="0" r="3810" b="0"/>
                  <wp:docPr id="1369635637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840" cy="2536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5A156C0" w14:textId="5EFF82DC" w:rsidR="00305DD0" w:rsidRDefault="00305DD0" w:rsidP="00305DD0">
            <w:pPr>
              <w:jc w:val="center"/>
            </w:pPr>
          </w:p>
        </w:tc>
        <w:tc>
          <w:tcPr>
            <w:tcW w:w="4531" w:type="dxa"/>
            <w:vAlign w:val="center"/>
          </w:tcPr>
          <w:p w14:paraId="0989D0A1" w14:textId="485E4B9C" w:rsidR="00305DD0" w:rsidRDefault="00305DD0" w:rsidP="00EE79D9">
            <w:r>
              <w:t>Calendrier tactile, chaque bac correspond à un moment de la demi-journée et contient un objet associé à une activité</w:t>
            </w:r>
          </w:p>
        </w:tc>
      </w:tr>
      <w:tr w:rsidR="00305DD0" w14:paraId="0DB86D24" w14:textId="77777777" w:rsidTr="00B45177">
        <w:tc>
          <w:tcPr>
            <w:tcW w:w="4531" w:type="dxa"/>
          </w:tcPr>
          <w:p w14:paraId="4B38DBB8" w14:textId="77777777" w:rsidR="00305DD0" w:rsidRDefault="00305DD0" w:rsidP="00305DD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7DCC3A" wp14:editId="747BAB55">
                  <wp:extent cx="2529840" cy="2536190"/>
                  <wp:effectExtent l="0" t="0" r="3810" b="0"/>
                  <wp:docPr id="2114532739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840" cy="2536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CBF7459" w14:textId="4768CFCB" w:rsidR="00305DD0" w:rsidRDefault="00305DD0" w:rsidP="00305DD0">
            <w:pPr>
              <w:jc w:val="center"/>
            </w:pPr>
          </w:p>
        </w:tc>
        <w:tc>
          <w:tcPr>
            <w:tcW w:w="4531" w:type="dxa"/>
            <w:vAlign w:val="center"/>
          </w:tcPr>
          <w:p w14:paraId="37DF5479" w14:textId="4CDDAE05" w:rsidR="00305DD0" w:rsidRDefault="00305DD0" w:rsidP="00EE79D9">
            <w:r>
              <w:t>Liste des objets associés à des personnes (destinée au professionnel)</w:t>
            </w:r>
          </w:p>
        </w:tc>
      </w:tr>
      <w:tr w:rsidR="00305DD0" w14:paraId="03F069EA" w14:textId="77777777" w:rsidTr="00B45177">
        <w:tc>
          <w:tcPr>
            <w:tcW w:w="4531" w:type="dxa"/>
          </w:tcPr>
          <w:p w14:paraId="06DD05A8" w14:textId="77777777" w:rsidR="00305DD0" w:rsidRDefault="00305DD0" w:rsidP="00305DD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DE4B6B5" wp14:editId="7E566F67">
                  <wp:extent cx="2529840" cy="2536190"/>
                  <wp:effectExtent l="0" t="0" r="3810" b="0"/>
                  <wp:docPr id="1209566113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840" cy="2536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8127396" w14:textId="54FCC53E" w:rsidR="00B45177" w:rsidRDefault="00B45177" w:rsidP="00305DD0">
            <w:pPr>
              <w:jc w:val="center"/>
              <w:rPr>
                <w:noProof/>
              </w:rPr>
            </w:pPr>
          </w:p>
        </w:tc>
        <w:tc>
          <w:tcPr>
            <w:tcW w:w="4531" w:type="dxa"/>
            <w:vAlign w:val="center"/>
          </w:tcPr>
          <w:p w14:paraId="16E901A2" w14:textId="0AF1B7B8" w:rsidR="00305DD0" w:rsidRDefault="00305DD0" w:rsidP="00EE79D9">
            <w:r>
              <w:t xml:space="preserve">Objets indiquant un lieu et la personne accompagnante </w:t>
            </w:r>
            <w:r w:rsidR="00B45177">
              <w:t>(sur le sac de la personne accompagnée)</w:t>
            </w:r>
          </w:p>
        </w:tc>
      </w:tr>
    </w:tbl>
    <w:p w14:paraId="6DFC852C" w14:textId="4C7EF7BE" w:rsidR="00EE79D9" w:rsidRDefault="00B45177" w:rsidP="00B45177">
      <w:pPr>
        <w:pStyle w:val="Titre1"/>
      </w:pPr>
      <w:bookmarkStart w:id="9" w:name="_Toc214010895"/>
      <w:r>
        <w:lastRenderedPageBreak/>
        <w:t>Les outils</w:t>
      </w:r>
      <w:bookmarkEnd w:id="9"/>
    </w:p>
    <w:p w14:paraId="2EC9BB95" w14:textId="5A8B3884" w:rsidR="00B45177" w:rsidRDefault="00B45177" w:rsidP="00B45177">
      <w:pPr>
        <w:pStyle w:val="Titre3"/>
      </w:pPr>
      <w:bookmarkStart w:id="10" w:name="_Toc214010896"/>
      <w:r>
        <w:t>La stabilité</w:t>
      </w:r>
      <w:bookmarkEnd w:id="10"/>
    </w:p>
    <w:tbl>
      <w:tblPr>
        <w:tblStyle w:val="Grilledutableau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B45177" w14:paraId="3A1FE128" w14:textId="77777777" w:rsidTr="00B45177">
        <w:tc>
          <w:tcPr>
            <w:tcW w:w="4531" w:type="dxa"/>
          </w:tcPr>
          <w:p w14:paraId="1200331D" w14:textId="77777777" w:rsidR="00B45177" w:rsidRDefault="00B45177" w:rsidP="00B4517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2DE6C17" wp14:editId="50ED070C">
                  <wp:extent cx="2529840" cy="2536190"/>
                  <wp:effectExtent l="0" t="0" r="3810" b="0"/>
                  <wp:docPr id="53813840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840" cy="2536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6721278" w14:textId="3034420F" w:rsidR="00B45177" w:rsidRDefault="00B45177" w:rsidP="00B45177">
            <w:pPr>
              <w:jc w:val="center"/>
            </w:pPr>
          </w:p>
        </w:tc>
        <w:tc>
          <w:tcPr>
            <w:tcW w:w="4531" w:type="dxa"/>
            <w:vAlign w:val="center"/>
          </w:tcPr>
          <w:p w14:paraId="613B4701" w14:textId="3D85CFBB" w:rsidR="00B45177" w:rsidRDefault="00B45177" w:rsidP="00B45177">
            <w:r>
              <w:t>Trous dans la table de travail pour insérer des gabarits</w:t>
            </w:r>
          </w:p>
        </w:tc>
      </w:tr>
      <w:tr w:rsidR="00B45177" w14:paraId="01C09F2E" w14:textId="77777777" w:rsidTr="00B45177">
        <w:tc>
          <w:tcPr>
            <w:tcW w:w="4531" w:type="dxa"/>
          </w:tcPr>
          <w:p w14:paraId="6F307241" w14:textId="77777777" w:rsidR="00B45177" w:rsidRDefault="00B45177" w:rsidP="00B4517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FFD676C" wp14:editId="238F679A">
                  <wp:extent cx="2529840" cy="2536190"/>
                  <wp:effectExtent l="0" t="0" r="3810" b="0"/>
                  <wp:docPr id="1922516854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840" cy="2536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40D95AB" w14:textId="4F8638A4" w:rsidR="00B45177" w:rsidRDefault="00B45177" w:rsidP="00B45177">
            <w:pPr>
              <w:jc w:val="center"/>
            </w:pPr>
          </w:p>
        </w:tc>
        <w:tc>
          <w:tcPr>
            <w:tcW w:w="4531" w:type="dxa"/>
            <w:vAlign w:val="center"/>
          </w:tcPr>
          <w:p w14:paraId="4833AEAB" w14:textId="6B3E6809" w:rsidR="00B45177" w:rsidRDefault="00B45177" w:rsidP="00B45177">
            <w:r>
              <w:t>Chevilles sous un gabarit à insérer dans les trous vus précédemment</w:t>
            </w:r>
          </w:p>
        </w:tc>
      </w:tr>
      <w:tr w:rsidR="00B45177" w14:paraId="1564C4FE" w14:textId="77777777" w:rsidTr="00B45177">
        <w:tc>
          <w:tcPr>
            <w:tcW w:w="4531" w:type="dxa"/>
          </w:tcPr>
          <w:p w14:paraId="4DEE978A" w14:textId="77777777" w:rsidR="00B45177" w:rsidRDefault="00B45177" w:rsidP="00B4517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941291" wp14:editId="08A81152">
                  <wp:extent cx="2529840" cy="2536190"/>
                  <wp:effectExtent l="0" t="0" r="3810" b="0"/>
                  <wp:docPr id="1245683541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840" cy="2536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5A75F02" w14:textId="32AD3581" w:rsidR="00B45177" w:rsidRDefault="00B45177" w:rsidP="00B45177">
            <w:pPr>
              <w:jc w:val="center"/>
            </w:pPr>
          </w:p>
        </w:tc>
        <w:tc>
          <w:tcPr>
            <w:tcW w:w="4531" w:type="dxa"/>
            <w:vAlign w:val="center"/>
          </w:tcPr>
          <w:p w14:paraId="10F4AB85" w14:textId="39BC8A42" w:rsidR="00B45177" w:rsidRDefault="00B45177" w:rsidP="00B45177">
            <w:r>
              <w:t>Cales sous le support de la taille des tables de travail</w:t>
            </w:r>
          </w:p>
        </w:tc>
      </w:tr>
    </w:tbl>
    <w:p w14:paraId="779DDAE1" w14:textId="6F6243EB" w:rsidR="00B45177" w:rsidRDefault="00B45177" w:rsidP="00B45177">
      <w:pPr>
        <w:pStyle w:val="Titre1"/>
      </w:pPr>
      <w:bookmarkStart w:id="11" w:name="_Toc214010897"/>
      <w:r>
        <w:lastRenderedPageBreak/>
        <w:t>Les gabarits</w:t>
      </w:r>
      <w:bookmarkEnd w:id="11"/>
    </w:p>
    <w:tbl>
      <w:tblPr>
        <w:tblStyle w:val="Grilledutableau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B3416C" w14:paraId="1C764290" w14:textId="77777777" w:rsidTr="00AD1DBF">
        <w:tc>
          <w:tcPr>
            <w:tcW w:w="4531" w:type="dxa"/>
          </w:tcPr>
          <w:p w14:paraId="7B929E09" w14:textId="77777777" w:rsidR="00B3416C" w:rsidRDefault="00B3416C" w:rsidP="00B3416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7FC7ADA" wp14:editId="780B9573">
                  <wp:extent cx="2529840" cy="2536190"/>
                  <wp:effectExtent l="0" t="0" r="3810" b="0"/>
                  <wp:docPr id="814863097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840" cy="2536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D86E717" w14:textId="6F7165E5" w:rsidR="00B3416C" w:rsidRDefault="00B3416C" w:rsidP="00B3416C">
            <w:pPr>
              <w:jc w:val="center"/>
            </w:pPr>
          </w:p>
        </w:tc>
        <w:tc>
          <w:tcPr>
            <w:tcW w:w="4531" w:type="dxa"/>
            <w:vAlign w:val="center"/>
          </w:tcPr>
          <w:p w14:paraId="7B5C3BFD" w14:textId="71ED34A7" w:rsidR="00B3416C" w:rsidRDefault="00B3416C" w:rsidP="00B45177">
            <w:r>
              <w:t>Gabarit en métal qui sert à définir la quantité moyenne de K-Lumet nécessaire au remplissage du cercle cartonné</w:t>
            </w:r>
          </w:p>
        </w:tc>
      </w:tr>
      <w:tr w:rsidR="00B3416C" w14:paraId="24D52811" w14:textId="77777777" w:rsidTr="00AD1DBF">
        <w:tc>
          <w:tcPr>
            <w:tcW w:w="4531" w:type="dxa"/>
          </w:tcPr>
          <w:p w14:paraId="3CFA99D5" w14:textId="77777777" w:rsidR="00B3416C" w:rsidRDefault="00B3416C" w:rsidP="00B3416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4279B1F" wp14:editId="4B8B526C">
                  <wp:extent cx="2529840" cy="2536190"/>
                  <wp:effectExtent l="0" t="0" r="3810" b="0"/>
                  <wp:docPr id="482383768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840" cy="2536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FE44648" w14:textId="3AE5C98F" w:rsidR="00B3416C" w:rsidRDefault="00B3416C" w:rsidP="00B3416C">
            <w:pPr>
              <w:jc w:val="center"/>
            </w:pPr>
          </w:p>
        </w:tc>
        <w:tc>
          <w:tcPr>
            <w:tcW w:w="4531" w:type="dxa"/>
            <w:vAlign w:val="center"/>
          </w:tcPr>
          <w:p w14:paraId="73692C4B" w14:textId="4607EA85" w:rsidR="00B3416C" w:rsidRDefault="00B3416C" w:rsidP="00B45177">
            <w:r>
              <w:t>Gabarit pour l’utilisation d’une perceuse à colonne</w:t>
            </w:r>
          </w:p>
        </w:tc>
      </w:tr>
      <w:tr w:rsidR="00B3416C" w14:paraId="521FEDB2" w14:textId="77777777" w:rsidTr="00AD1DBF">
        <w:tc>
          <w:tcPr>
            <w:tcW w:w="4531" w:type="dxa"/>
          </w:tcPr>
          <w:p w14:paraId="5F096199" w14:textId="77777777" w:rsidR="00B3416C" w:rsidRDefault="00B3416C" w:rsidP="00B3416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C2DF26B" wp14:editId="5BF166EC">
                  <wp:extent cx="2529840" cy="2536190"/>
                  <wp:effectExtent l="0" t="0" r="3810" b="0"/>
                  <wp:docPr id="1301164262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840" cy="2536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06EE088" w14:textId="57065BFA" w:rsidR="00B3416C" w:rsidRDefault="00B3416C" w:rsidP="00B3416C">
            <w:pPr>
              <w:jc w:val="center"/>
            </w:pPr>
          </w:p>
        </w:tc>
        <w:tc>
          <w:tcPr>
            <w:tcW w:w="4531" w:type="dxa"/>
            <w:vAlign w:val="center"/>
          </w:tcPr>
          <w:p w14:paraId="58A87867" w14:textId="0F94E6E2" w:rsidR="00B3416C" w:rsidRDefault="00B3416C" w:rsidP="00B45177">
            <w:r>
              <w:t>Outil permettant de trier l’épaisseur de l’osier, le support dans la main s’assure de la bonne distance sur la tige, le bac permet de définir l’épaisseur du brin</w:t>
            </w:r>
          </w:p>
        </w:tc>
      </w:tr>
      <w:tr w:rsidR="00B3416C" w14:paraId="3DAA338D" w14:textId="77777777" w:rsidTr="00AD1DBF">
        <w:tc>
          <w:tcPr>
            <w:tcW w:w="4531" w:type="dxa"/>
          </w:tcPr>
          <w:p w14:paraId="652ECB3B" w14:textId="77777777" w:rsidR="00B3416C" w:rsidRDefault="00B3416C" w:rsidP="00B3416C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9165942" wp14:editId="62364E7E">
                  <wp:extent cx="2529840" cy="2536190"/>
                  <wp:effectExtent l="0" t="0" r="3810" b="0"/>
                  <wp:docPr id="1732049936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840" cy="2536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DEE9D2F" w14:textId="586E282A" w:rsidR="00B3416C" w:rsidRDefault="00B3416C" w:rsidP="00B3416C">
            <w:pPr>
              <w:jc w:val="center"/>
            </w:pPr>
          </w:p>
        </w:tc>
        <w:tc>
          <w:tcPr>
            <w:tcW w:w="4531" w:type="dxa"/>
            <w:vAlign w:val="center"/>
          </w:tcPr>
          <w:p w14:paraId="3610CD8C" w14:textId="0F25B6AA" w:rsidR="00B3416C" w:rsidRDefault="00B3416C" w:rsidP="00B45177">
            <w:r>
              <w:t>Gabarit permettant l’association de nombre (bouton cuivré) et le développement de la motricité fine (tige filetée)</w:t>
            </w:r>
          </w:p>
        </w:tc>
      </w:tr>
    </w:tbl>
    <w:p w14:paraId="66798B5C" w14:textId="0DB37A20" w:rsidR="004738E3" w:rsidRDefault="00B3416C" w:rsidP="00B3416C">
      <w:pPr>
        <w:pStyle w:val="Titre1"/>
      </w:pPr>
      <w:bookmarkStart w:id="12" w:name="_Toc214010898"/>
      <w:r>
        <w:t>L’importance de la minimisation d’information : utile</w:t>
      </w:r>
      <w:bookmarkEnd w:id="12"/>
    </w:p>
    <w:tbl>
      <w:tblPr>
        <w:tblStyle w:val="Grilledutableau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B3416C" w14:paraId="687E2FC5" w14:textId="77777777" w:rsidTr="00AD1DBF">
        <w:tc>
          <w:tcPr>
            <w:tcW w:w="4531" w:type="dxa"/>
          </w:tcPr>
          <w:p w14:paraId="18EB29A9" w14:textId="77777777" w:rsidR="00B3416C" w:rsidRDefault="00AD1DBF" w:rsidP="00B3416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E883D8D" wp14:editId="3DDA312A">
                  <wp:extent cx="2529840" cy="2536190"/>
                  <wp:effectExtent l="0" t="0" r="3810" b="0"/>
                  <wp:docPr id="1184708847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840" cy="2536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DF06860" w14:textId="769CEBA6" w:rsidR="00AD1DBF" w:rsidRDefault="00AD1DBF" w:rsidP="00B3416C">
            <w:pPr>
              <w:jc w:val="center"/>
            </w:pPr>
          </w:p>
        </w:tc>
        <w:tc>
          <w:tcPr>
            <w:tcW w:w="4531" w:type="dxa"/>
            <w:vAlign w:val="center"/>
          </w:tcPr>
          <w:p w14:paraId="3AE118B8" w14:textId="74B395EF" w:rsidR="00B3416C" w:rsidRDefault="00AD1DBF" w:rsidP="00B3416C">
            <w:r>
              <w:t xml:space="preserve">Ici, la personne qui a le casier avec le rond orange (repère) est malvoyante et autonome, au même titre que celle qui </w:t>
            </w:r>
            <w:proofErr w:type="gramStart"/>
            <w:r>
              <w:t>a</w:t>
            </w:r>
            <w:proofErr w:type="gramEnd"/>
            <w:r>
              <w:t xml:space="preserve"> le « Y » jaune, celles entre les deux ne sont pas autonome (aucun repère nécessaire), celle a qui a le casier de droite est malvoyante et autonome (elle sait qu’elle a le casier de droite, aucun repère nécessaire)</w:t>
            </w:r>
          </w:p>
        </w:tc>
      </w:tr>
    </w:tbl>
    <w:p w14:paraId="50E9B3A3" w14:textId="77777777" w:rsidR="00B3416C" w:rsidRPr="00B3416C" w:rsidRDefault="00B3416C" w:rsidP="00B3416C"/>
    <w:p w14:paraId="4EF1CB47" w14:textId="77777777" w:rsidR="004738E3" w:rsidRDefault="004738E3" w:rsidP="00A1427C">
      <w:pPr>
        <w:jc w:val="both"/>
      </w:pPr>
    </w:p>
    <w:p w14:paraId="635D3FBD" w14:textId="77777777" w:rsidR="004738E3" w:rsidRDefault="004738E3" w:rsidP="00A1427C">
      <w:pPr>
        <w:jc w:val="both"/>
      </w:pPr>
    </w:p>
    <w:p w14:paraId="726A9244" w14:textId="77777777" w:rsidR="004738E3" w:rsidRDefault="004738E3" w:rsidP="00A1427C">
      <w:pPr>
        <w:jc w:val="both"/>
      </w:pPr>
    </w:p>
    <w:p w14:paraId="50CEBA85" w14:textId="77777777" w:rsidR="004738E3" w:rsidRDefault="004738E3" w:rsidP="00A1427C">
      <w:pPr>
        <w:jc w:val="both"/>
      </w:pPr>
    </w:p>
    <w:p w14:paraId="75773595" w14:textId="77777777" w:rsidR="00442F31" w:rsidRDefault="00442F31" w:rsidP="00A1427C">
      <w:pPr>
        <w:jc w:val="both"/>
      </w:pPr>
    </w:p>
    <w:p w14:paraId="1D5EFC87" w14:textId="77777777" w:rsidR="006279BD" w:rsidRDefault="006279BD" w:rsidP="00A1427C">
      <w:pPr>
        <w:jc w:val="both"/>
      </w:pPr>
    </w:p>
    <w:p w14:paraId="0CAF1621" w14:textId="77777777" w:rsidR="006279BD" w:rsidRDefault="006279BD" w:rsidP="00A1427C">
      <w:pPr>
        <w:jc w:val="both"/>
      </w:pPr>
    </w:p>
    <w:p w14:paraId="342E81B6" w14:textId="77777777" w:rsidR="006279BD" w:rsidRDefault="006279BD" w:rsidP="00A1427C">
      <w:pPr>
        <w:jc w:val="both"/>
      </w:pPr>
    </w:p>
    <w:p w14:paraId="77A6B120" w14:textId="77777777" w:rsidR="006279BD" w:rsidRDefault="006279BD" w:rsidP="00A1427C">
      <w:pPr>
        <w:jc w:val="both"/>
      </w:pPr>
    </w:p>
    <w:sdt>
      <w:sdtPr>
        <w:rPr>
          <w:rFonts w:asciiTheme="minorHAnsi" w:eastAsiaTheme="minorHAnsi" w:hAnsiTheme="minorHAnsi" w:cstheme="minorBidi"/>
          <w:color w:val="222A35" w:themeColor="text2" w:themeShade="80"/>
          <w:sz w:val="22"/>
          <w:szCs w:val="22"/>
          <w:lang w:val="fr-FR" w:eastAsia="en-US"/>
        </w:rPr>
        <w:id w:val="-24387940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C4BD95C" w14:textId="7CA24847" w:rsidR="00AA71E8" w:rsidRDefault="00AA71E8" w:rsidP="00A1427C">
          <w:pPr>
            <w:pStyle w:val="En-ttedetabledesmatires"/>
            <w:jc w:val="both"/>
            <w:rPr>
              <w:lang w:val="fr-FR"/>
            </w:rPr>
          </w:pPr>
          <w:r>
            <w:rPr>
              <w:lang w:val="fr-FR"/>
            </w:rPr>
            <w:t>Table des matières</w:t>
          </w:r>
        </w:p>
        <w:p w14:paraId="4ED42CA4" w14:textId="77777777" w:rsidR="003A7A21" w:rsidRPr="003A7A21" w:rsidRDefault="003A7A21" w:rsidP="00A1427C">
          <w:pPr>
            <w:jc w:val="both"/>
            <w:rPr>
              <w:lang w:val="fr-FR" w:eastAsia="fr-CH"/>
            </w:rPr>
          </w:pPr>
        </w:p>
        <w:p w14:paraId="24F3618F" w14:textId="5C16CED4" w:rsidR="00AD1DBF" w:rsidRDefault="008D1565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color w:val="auto"/>
              <w:kern w:val="2"/>
              <w:sz w:val="24"/>
              <w:szCs w:val="24"/>
              <w:lang w:eastAsia="fr-CH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14010886" w:history="1">
            <w:r w:rsidR="00AD1DBF" w:rsidRPr="00145DEB">
              <w:rPr>
                <w:rStyle w:val="Lienhypertexte"/>
                <w:noProof/>
              </w:rPr>
              <w:t>Le contraste</w:t>
            </w:r>
            <w:r w:rsidR="00AD1DBF">
              <w:rPr>
                <w:noProof/>
                <w:webHidden/>
              </w:rPr>
              <w:tab/>
            </w:r>
            <w:r w:rsidR="00AD1DBF">
              <w:rPr>
                <w:noProof/>
                <w:webHidden/>
              </w:rPr>
              <w:fldChar w:fldCharType="begin"/>
            </w:r>
            <w:r w:rsidR="00AD1DBF">
              <w:rPr>
                <w:noProof/>
                <w:webHidden/>
              </w:rPr>
              <w:instrText xml:space="preserve"> PAGEREF _Toc214010886 \h </w:instrText>
            </w:r>
            <w:r w:rsidR="00AD1DBF">
              <w:rPr>
                <w:noProof/>
                <w:webHidden/>
              </w:rPr>
            </w:r>
            <w:r w:rsidR="00AD1DBF">
              <w:rPr>
                <w:noProof/>
                <w:webHidden/>
              </w:rPr>
              <w:fldChar w:fldCharType="separate"/>
            </w:r>
            <w:r w:rsidR="00AD1DBF">
              <w:rPr>
                <w:noProof/>
                <w:webHidden/>
              </w:rPr>
              <w:t>1</w:t>
            </w:r>
            <w:r w:rsidR="00AD1DBF">
              <w:rPr>
                <w:noProof/>
                <w:webHidden/>
              </w:rPr>
              <w:fldChar w:fldCharType="end"/>
            </w:r>
          </w:hyperlink>
        </w:p>
        <w:p w14:paraId="27F26612" w14:textId="6FA3E96D" w:rsidR="00AD1DBF" w:rsidRDefault="00AD1DBF">
          <w:pPr>
            <w:pStyle w:val="TM3"/>
            <w:tabs>
              <w:tab w:val="right" w:leader="dot" w:pos="9062"/>
            </w:tabs>
            <w:rPr>
              <w:rFonts w:eastAsiaTheme="minorEastAsia"/>
              <w:noProof/>
              <w:color w:val="auto"/>
              <w:kern w:val="2"/>
              <w:sz w:val="24"/>
              <w:szCs w:val="24"/>
              <w:lang w:eastAsia="fr-CH"/>
              <w14:ligatures w14:val="standardContextual"/>
            </w:rPr>
          </w:pPr>
          <w:hyperlink w:anchor="_Toc214010887" w:history="1">
            <w:r w:rsidRPr="00145DEB">
              <w:rPr>
                <w:rStyle w:val="Lienhypertexte"/>
                <w:noProof/>
              </w:rPr>
              <w:t>Interrupteurs à variateur et prises de courant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_Toc214010887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428015" w14:textId="501A2860" w:rsidR="00AD1DBF" w:rsidRDefault="00AD1DBF">
          <w:pPr>
            <w:pStyle w:val="TM3"/>
            <w:tabs>
              <w:tab w:val="right" w:leader="dot" w:pos="9062"/>
            </w:tabs>
            <w:rPr>
              <w:rFonts w:eastAsiaTheme="minorEastAsia"/>
              <w:noProof/>
              <w:color w:val="auto"/>
              <w:kern w:val="2"/>
              <w:sz w:val="24"/>
              <w:szCs w:val="24"/>
              <w:lang w:eastAsia="fr-CH"/>
              <w14:ligatures w14:val="standardContextual"/>
            </w:rPr>
          </w:pPr>
          <w:hyperlink w:anchor="_Toc214010888" w:history="1">
            <w:r w:rsidRPr="00145DEB">
              <w:rPr>
                <w:rStyle w:val="Lienhypertexte"/>
                <w:noProof/>
              </w:rPr>
              <w:t>La signalétique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_Toc214010888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385A4E" w14:textId="0C93204F" w:rsidR="00AD1DBF" w:rsidRDefault="00AD1DBF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color w:val="auto"/>
              <w:kern w:val="2"/>
              <w:sz w:val="24"/>
              <w:szCs w:val="24"/>
              <w:lang w:eastAsia="fr-CH"/>
              <w14:ligatures w14:val="standardContextual"/>
            </w:rPr>
          </w:pPr>
          <w:hyperlink w:anchor="_Toc214010889" w:history="1">
            <w:r w:rsidRPr="00145DEB">
              <w:rPr>
                <w:rStyle w:val="Lienhypertexte"/>
                <w:noProof/>
              </w:rPr>
              <w:t>Le relief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_Toc214010889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ED3069" w14:textId="768F4727" w:rsidR="00AD1DBF" w:rsidRDefault="00AD1DBF">
          <w:pPr>
            <w:pStyle w:val="TM3"/>
            <w:tabs>
              <w:tab w:val="right" w:leader="dot" w:pos="9062"/>
            </w:tabs>
            <w:rPr>
              <w:rFonts w:eastAsiaTheme="minorEastAsia"/>
              <w:noProof/>
              <w:color w:val="auto"/>
              <w:kern w:val="2"/>
              <w:sz w:val="24"/>
              <w:szCs w:val="24"/>
              <w:lang w:eastAsia="fr-CH"/>
              <w14:ligatures w14:val="standardContextual"/>
            </w:rPr>
          </w:pPr>
          <w:hyperlink w:anchor="_Toc214010890" w:history="1">
            <w:r w:rsidRPr="00145DEB">
              <w:rPr>
                <w:rStyle w:val="Lienhypertexte"/>
                <w:noProof/>
              </w:rPr>
              <w:t>Les repère spatiaux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_Toc214010890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671053" w14:textId="13B99E84" w:rsidR="00AD1DBF" w:rsidRDefault="00AD1DBF">
          <w:pPr>
            <w:pStyle w:val="TM3"/>
            <w:tabs>
              <w:tab w:val="right" w:leader="dot" w:pos="9062"/>
            </w:tabs>
            <w:rPr>
              <w:rFonts w:eastAsiaTheme="minorEastAsia"/>
              <w:noProof/>
              <w:color w:val="auto"/>
              <w:kern w:val="2"/>
              <w:sz w:val="24"/>
              <w:szCs w:val="24"/>
              <w:lang w:eastAsia="fr-CH"/>
              <w14:ligatures w14:val="standardContextual"/>
            </w:rPr>
          </w:pPr>
          <w:hyperlink w:anchor="_Toc214010891" w:history="1">
            <w:r w:rsidRPr="00145DEB">
              <w:rPr>
                <w:rStyle w:val="Lienhypertexte"/>
                <w:noProof/>
              </w:rPr>
              <w:t>Les objets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_Toc214010891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EA1460" w14:textId="3482DD1C" w:rsidR="00AD1DBF" w:rsidRDefault="00AD1DBF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color w:val="auto"/>
              <w:kern w:val="2"/>
              <w:sz w:val="24"/>
              <w:szCs w:val="24"/>
              <w:lang w:eastAsia="fr-CH"/>
              <w14:ligatures w14:val="standardContextual"/>
            </w:rPr>
          </w:pPr>
          <w:hyperlink w:anchor="_Toc214010892" w:history="1">
            <w:r w:rsidRPr="00145DEB">
              <w:rPr>
                <w:rStyle w:val="Lienhypertexte"/>
                <w:noProof/>
              </w:rPr>
              <w:t>La lumière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_Toc214010892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1C60A4" w14:textId="33F1DA20" w:rsidR="00AD1DBF" w:rsidRDefault="00AD1DBF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color w:val="auto"/>
              <w:kern w:val="2"/>
              <w:sz w:val="24"/>
              <w:szCs w:val="24"/>
              <w:lang w:eastAsia="fr-CH"/>
              <w14:ligatures w14:val="standardContextual"/>
            </w:rPr>
          </w:pPr>
          <w:hyperlink w:anchor="_Toc214010893" w:history="1">
            <w:r w:rsidRPr="00145DEB">
              <w:rPr>
                <w:rStyle w:val="Lienhypertexte"/>
                <w:noProof/>
              </w:rPr>
              <w:t>Association d’idées à objets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_Toc214010893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B47580" w14:textId="07F36EE9" w:rsidR="00AD1DBF" w:rsidRDefault="00AD1DBF">
          <w:pPr>
            <w:pStyle w:val="TM3"/>
            <w:tabs>
              <w:tab w:val="right" w:leader="dot" w:pos="9062"/>
            </w:tabs>
            <w:rPr>
              <w:rFonts w:eastAsiaTheme="minorEastAsia"/>
              <w:noProof/>
              <w:color w:val="auto"/>
              <w:kern w:val="2"/>
              <w:sz w:val="24"/>
              <w:szCs w:val="24"/>
              <w:lang w:eastAsia="fr-CH"/>
              <w14:ligatures w14:val="standardContextual"/>
            </w:rPr>
          </w:pPr>
          <w:hyperlink w:anchor="_Toc214010894" w:history="1">
            <w:r w:rsidRPr="00145DEB">
              <w:rPr>
                <w:rStyle w:val="Lienhypertexte"/>
                <w:noProof/>
              </w:rPr>
              <w:t xml:space="preserve">Association objet </w:t>
            </w:r>
            <w:r w:rsidRPr="00145DEB">
              <w:rPr>
                <w:rStyle w:val="Lienhypertexte"/>
                <w:rFonts w:cstheme="minorHAnsi"/>
                <w:noProof/>
              </w:rPr>
              <w:t>→</w:t>
            </w:r>
            <w:r w:rsidRPr="00145DEB">
              <w:rPr>
                <w:rStyle w:val="Lienhypertexte"/>
                <w:noProof/>
              </w:rPr>
              <w:t xml:space="preserve"> personne/activité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_Toc214010894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0CAE81" w14:textId="174B625D" w:rsidR="00AD1DBF" w:rsidRDefault="00AD1DBF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color w:val="auto"/>
              <w:kern w:val="2"/>
              <w:sz w:val="24"/>
              <w:szCs w:val="24"/>
              <w:lang w:eastAsia="fr-CH"/>
              <w14:ligatures w14:val="standardContextual"/>
            </w:rPr>
          </w:pPr>
          <w:hyperlink w:anchor="_Toc214010895" w:history="1">
            <w:r w:rsidRPr="00145DEB">
              <w:rPr>
                <w:rStyle w:val="Lienhypertexte"/>
                <w:noProof/>
              </w:rPr>
              <w:t>Les outils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_Toc214010895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8F6036" w14:textId="7AD2DEBA" w:rsidR="00AD1DBF" w:rsidRDefault="00AD1DBF">
          <w:pPr>
            <w:pStyle w:val="TM3"/>
            <w:tabs>
              <w:tab w:val="right" w:leader="dot" w:pos="9062"/>
            </w:tabs>
            <w:rPr>
              <w:rFonts w:eastAsiaTheme="minorEastAsia"/>
              <w:noProof/>
              <w:color w:val="auto"/>
              <w:kern w:val="2"/>
              <w:sz w:val="24"/>
              <w:szCs w:val="24"/>
              <w:lang w:eastAsia="fr-CH"/>
              <w14:ligatures w14:val="standardContextual"/>
            </w:rPr>
          </w:pPr>
          <w:hyperlink w:anchor="_Toc214010896" w:history="1">
            <w:r w:rsidRPr="00145DEB">
              <w:rPr>
                <w:rStyle w:val="Lienhypertexte"/>
                <w:noProof/>
              </w:rPr>
              <w:t>La stabilité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_Toc214010896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6AA6D2" w14:textId="4AAD8201" w:rsidR="00AD1DBF" w:rsidRDefault="00AD1DBF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color w:val="auto"/>
              <w:kern w:val="2"/>
              <w:sz w:val="24"/>
              <w:szCs w:val="24"/>
              <w:lang w:eastAsia="fr-CH"/>
              <w14:ligatures w14:val="standardContextual"/>
            </w:rPr>
          </w:pPr>
          <w:hyperlink w:anchor="_Toc214010897" w:history="1">
            <w:r w:rsidRPr="00145DEB">
              <w:rPr>
                <w:rStyle w:val="Lienhypertexte"/>
                <w:noProof/>
              </w:rPr>
              <w:t>Les gabarits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_Toc214010897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8EB0C4" w14:textId="13F4A63B" w:rsidR="00AD1DBF" w:rsidRDefault="00AD1DBF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color w:val="auto"/>
              <w:kern w:val="2"/>
              <w:sz w:val="24"/>
              <w:szCs w:val="24"/>
              <w:lang w:eastAsia="fr-CH"/>
              <w14:ligatures w14:val="standardContextual"/>
            </w:rPr>
          </w:pPr>
          <w:hyperlink w:anchor="_Toc214010898" w:history="1">
            <w:r w:rsidRPr="00145DEB">
              <w:rPr>
                <w:rStyle w:val="Lienhypertexte"/>
                <w:noProof/>
              </w:rPr>
              <w:t>L’importance de la minimisation d’information : utile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_Toc214010898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DEAAEB" w14:textId="282006F4" w:rsidR="00AA71E8" w:rsidRDefault="008D1565" w:rsidP="00A1427C">
          <w:pPr>
            <w:jc w:val="both"/>
          </w:pPr>
          <w:r>
            <w:rPr>
              <w:b/>
              <w:bCs/>
              <w:noProof/>
              <w:lang w:val="fr-FR"/>
            </w:rPr>
            <w:fldChar w:fldCharType="end"/>
          </w:r>
        </w:p>
      </w:sdtContent>
    </w:sdt>
    <w:p w14:paraId="7E87FF62" w14:textId="77777777" w:rsidR="00442F31" w:rsidRDefault="00442F31" w:rsidP="00A1427C">
      <w:pPr>
        <w:jc w:val="both"/>
      </w:pPr>
    </w:p>
    <w:p w14:paraId="0EBA978E" w14:textId="77777777" w:rsidR="00442F31" w:rsidRDefault="00442F31" w:rsidP="00A1427C">
      <w:pPr>
        <w:jc w:val="both"/>
      </w:pPr>
    </w:p>
    <w:p w14:paraId="7DFB0617" w14:textId="77777777" w:rsidR="00442F31" w:rsidRDefault="00442F31" w:rsidP="00A1427C">
      <w:pPr>
        <w:jc w:val="both"/>
      </w:pPr>
    </w:p>
    <w:p w14:paraId="214683AA" w14:textId="77777777" w:rsidR="00094155" w:rsidRDefault="00094155" w:rsidP="00A1427C">
      <w:pPr>
        <w:jc w:val="both"/>
      </w:pPr>
    </w:p>
    <w:p w14:paraId="12DD939F" w14:textId="77777777" w:rsidR="00094155" w:rsidRDefault="00094155" w:rsidP="00A1427C">
      <w:pPr>
        <w:jc w:val="both"/>
      </w:pPr>
    </w:p>
    <w:p w14:paraId="0BC52566" w14:textId="3D9BBF01" w:rsidR="00094155" w:rsidRDefault="00094155" w:rsidP="00BE3AA3"/>
    <w:p w14:paraId="6B2FD9BB" w14:textId="77777777" w:rsidR="0067362D" w:rsidRDefault="0067362D" w:rsidP="00BE3AA3"/>
    <w:p w14:paraId="1A94623D" w14:textId="77777777" w:rsidR="00094155" w:rsidRDefault="00094155" w:rsidP="00A1427C">
      <w:pPr>
        <w:jc w:val="both"/>
      </w:pPr>
    </w:p>
    <w:p w14:paraId="7F7BB32F" w14:textId="77777777" w:rsidR="00094155" w:rsidRDefault="00094155" w:rsidP="00A1427C">
      <w:pPr>
        <w:jc w:val="both"/>
      </w:pPr>
    </w:p>
    <w:p w14:paraId="614B3681" w14:textId="77777777" w:rsidR="00094155" w:rsidRDefault="00094155" w:rsidP="00A1427C">
      <w:pPr>
        <w:jc w:val="both"/>
      </w:pPr>
    </w:p>
    <w:p w14:paraId="73B16EE0" w14:textId="77777777" w:rsidR="00094155" w:rsidRDefault="00094155" w:rsidP="00A1427C">
      <w:pPr>
        <w:jc w:val="both"/>
      </w:pPr>
    </w:p>
    <w:p w14:paraId="4A867108" w14:textId="77777777" w:rsidR="00094155" w:rsidRDefault="00094155" w:rsidP="00A1427C">
      <w:pPr>
        <w:jc w:val="both"/>
      </w:pPr>
    </w:p>
    <w:p w14:paraId="1BB96706" w14:textId="77777777" w:rsidR="00094155" w:rsidRDefault="00094155" w:rsidP="00A1427C">
      <w:pPr>
        <w:jc w:val="both"/>
      </w:pPr>
    </w:p>
    <w:p w14:paraId="739A24FE" w14:textId="77777777" w:rsidR="00094155" w:rsidRDefault="00094155" w:rsidP="00A1427C">
      <w:pPr>
        <w:jc w:val="both"/>
      </w:pPr>
    </w:p>
    <w:p w14:paraId="7B5BC872" w14:textId="77777777" w:rsidR="00094155" w:rsidRDefault="00094155" w:rsidP="00A1427C">
      <w:pPr>
        <w:jc w:val="both"/>
      </w:pPr>
    </w:p>
    <w:p w14:paraId="6E375744" w14:textId="54EE337A" w:rsidR="00E2487A" w:rsidRDefault="00E2487A" w:rsidP="00C7112A">
      <w:pPr>
        <w:pStyle w:val="Titre1"/>
        <w:jc w:val="both"/>
      </w:pPr>
    </w:p>
    <w:sectPr w:rsidR="00E2487A" w:rsidSect="00356F2E">
      <w:headerReference w:type="default" r:id="rId39"/>
      <w:footerReference w:type="default" r:id="rId40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3BF9EB" w14:textId="77777777" w:rsidR="00670682" w:rsidRDefault="00670682" w:rsidP="00203FA7">
      <w:pPr>
        <w:spacing w:after="0" w:line="240" w:lineRule="auto"/>
      </w:pPr>
      <w:r>
        <w:separator/>
      </w:r>
    </w:p>
  </w:endnote>
  <w:endnote w:type="continuationSeparator" w:id="0">
    <w:p w14:paraId="649DE711" w14:textId="77777777" w:rsidR="00670682" w:rsidRDefault="00670682" w:rsidP="00203F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84278431"/>
      <w:docPartObj>
        <w:docPartGallery w:val="Page Numbers (Bottom of Page)"/>
        <w:docPartUnique/>
      </w:docPartObj>
    </w:sdtPr>
    <w:sdtEndPr/>
    <w:sdtContent>
      <w:p w14:paraId="0B5741D6" w14:textId="63D425A5" w:rsidR="00203FA7" w:rsidRDefault="00203FA7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fr-FR"/>
          </w:rPr>
          <w:t>2</w:t>
        </w:r>
        <w:r>
          <w:fldChar w:fldCharType="end"/>
        </w:r>
      </w:p>
    </w:sdtContent>
  </w:sdt>
  <w:p w14:paraId="08689022" w14:textId="77777777" w:rsidR="00203FA7" w:rsidRDefault="00203FA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CC6635" w14:textId="77777777" w:rsidR="00670682" w:rsidRDefault="00670682" w:rsidP="00203FA7">
      <w:pPr>
        <w:spacing w:after="0" w:line="240" w:lineRule="auto"/>
      </w:pPr>
      <w:r>
        <w:separator/>
      </w:r>
    </w:p>
  </w:footnote>
  <w:footnote w:type="continuationSeparator" w:id="0">
    <w:p w14:paraId="435BEA71" w14:textId="77777777" w:rsidR="00670682" w:rsidRDefault="00670682" w:rsidP="00203F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C3E02A" w14:textId="677F7680" w:rsidR="00203FA7" w:rsidRDefault="00DA2A9D">
    <w:pPr>
      <w:pStyle w:val="En-tte"/>
    </w:pPr>
    <w:r>
      <w:t xml:space="preserve">Les handicaps sensoriels : </w:t>
    </w:r>
    <w:r w:rsidR="00B14116">
      <w:t>Le</w:t>
    </w:r>
    <w:r w:rsidR="00C7112A">
      <w:t>s dispositifs socioprofessionnels</w:t>
    </w:r>
  </w:p>
  <w:p w14:paraId="0B24E422" w14:textId="628942AB" w:rsidR="00203FA7" w:rsidRDefault="00203FA7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EE5190"/>
    <w:multiLevelType w:val="multilevel"/>
    <w:tmpl w:val="914A2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D727D8C"/>
    <w:multiLevelType w:val="multilevel"/>
    <w:tmpl w:val="6F0CA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6D2A5F"/>
    <w:multiLevelType w:val="multilevel"/>
    <w:tmpl w:val="84AEA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B06088"/>
    <w:multiLevelType w:val="multilevel"/>
    <w:tmpl w:val="F9502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9993E17"/>
    <w:multiLevelType w:val="multilevel"/>
    <w:tmpl w:val="60A4E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F3F37C1"/>
    <w:multiLevelType w:val="multilevel"/>
    <w:tmpl w:val="4AFC2A4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354D0F41"/>
    <w:multiLevelType w:val="multilevel"/>
    <w:tmpl w:val="E6D64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D7442A9"/>
    <w:multiLevelType w:val="hybridMultilevel"/>
    <w:tmpl w:val="140A2D66"/>
    <w:lvl w:ilvl="0" w:tplc="ECEE10AC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D2AC887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AC5CB456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DE9225AE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F3CCA11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5510B74C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8A460D8C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29447FC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E4C7D4A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8" w15:restartNumberingAfterBreak="0">
    <w:nsid w:val="47153AC7"/>
    <w:multiLevelType w:val="multilevel"/>
    <w:tmpl w:val="42426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8F22BBF"/>
    <w:multiLevelType w:val="hybridMultilevel"/>
    <w:tmpl w:val="EC926086"/>
    <w:lvl w:ilvl="0" w:tplc="7DC8CA4A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F06962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6309548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8EFE4C86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2112F9E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CDE992C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BFD28C14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5772208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8167470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10" w15:restartNumberingAfterBreak="0">
    <w:nsid w:val="4D1A1C6C"/>
    <w:multiLevelType w:val="multilevel"/>
    <w:tmpl w:val="3A44A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36F63F3"/>
    <w:multiLevelType w:val="multilevel"/>
    <w:tmpl w:val="57E43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898552B"/>
    <w:multiLevelType w:val="multilevel"/>
    <w:tmpl w:val="19006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BF7271C"/>
    <w:multiLevelType w:val="multilevel"/>
    <w:tmpl w:val="0B9EE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7472BFD"/>
    <w:multiLevelType w:val="multilevel"/>
    <w:tmpl w:val="6680C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9987BF1"/>
    <w:multiLevelType w:val="multilevel"/>
    <w:tmpl w:val="24202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FA113A9"/>
    <w:multiLevelType w:val="multilevel"/>
    <w:tmpl w:val="EB0EF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FF477BE"/>
    <w:multiLevelType w:val="multilevel"/>
    <w:tmpl w:val="19B21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58793588">
    <w:abstractNumId w:val="14"/>
  </w:num>
  <w:num w:numId="2" w16cid:durableId="779494575">
    <w:abstractNumId w:val="2"/>
  </w:num>
  <w:num w:numId="3" w16cid:durableId="1687058245">
    <w:abstractNumId w:val="16"/>
  </w:num>
  <w:num w:numId="4" w16cid:durableId="1518156989">
    <w:abstractNumId w:val="12"/>
  </w:num>
  <w:num w:numId="5" w16cid:durableId="1924023605">
    <w:abstractNumId w:val="11"/>
  </w:num>
  <w:num w:numId="6" w16cid:durableId="1070225146">
    <w:abstractNumId w:val="10"/>
  </w:num>
  <w:num w:numId="7" w16cid:durableId="1101413930">
    <w:abstractNumId w:val="15"/>
  </w:num>
  <w:num w:numId="8" w16cid:durableId="1967739586">
    <w:abstractNumId w:val="17"/>
  </w:num>
  <w:num w:numId="9" w16cid:durableId="798500935">
    <w:abstractNumId w:val="3"/>
  </w:num>
  <w:num w:numId="10" w16cid:durableId="1725253528">
    <w:abstractNumId w:val="5"/>
  </w:num>
  <w:num w:numId="11" w16cid:durableId="770323562">
    <w:abstractNumId w:val="8"/>
  </w:num>
  <w:num w:numId="12" w16cid:durableId="1412463616">
    <w:abstractNumId w:val="0"/>
  </w:num>
  <w:num w:numId="13" w16cid:durableId="1719474814">
    <w:abstractNumId w:val="6"/>
  </w:num>
  <w:num w:numId="14" w16cid:durableId="1385837473">
    <w:abstractNumId w:val="4"/>
  </w:num>
  <w:num w:numId="15" w16cid:durableId="89470886">
    <w:abstractNumId w:val="13"/>
  </w:num>
  <w:num w:numId="16" w16cid:durableId="1969579228">
    <w:abstractNumId w:val="1"/>
  </w:num>
  <w:num w:numId="17" w16cid:durableId="962880882">
    <w:abstractNumId w:val="9"/>
  </w:num>
  <w:num w:numId="18" w16cid:durableId="187676975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B74"/>
    <w:rsid w:val="00020E7C"/>
    <w:rsid w:val="000273D8"/>
    <w:rsid w:val="000543EE"/>
    <w:rsid w:val="00055393"/>
    <w:rsid w:val="00056A1D"/>
    <w:rsid w:val="00092627"/>
    <w:rsid w:val="00092A06"/>
    <w:rsid w:val="00094155"/>
    <w:rsid w:val="000B37AB"/>
    <w:rsid w:val="000F00E4"/>
    <w:rsid w:val="000F6A13"/>
    <w:rsid w:val="00106C9A"/>
    <w:rsid w:val="00110320"/>
    <w:rsid w:val="001356FE"/>
    <w:rsid w:val="00145567"/>
    <w:rsid w:val="00151BCD"/>
    <w:rsid w:val="00156940"/>
    <w:rsid w:val="00160CF8"/>
    <w:rsid w:val="0016312C"/>
    <w:rsid w:val="00192399"/>
    <w:rsid w:val="001B3227"/>
    <w:rsid w:val="001E5C8F"/>
    <w:rsid w:val="00203FA7"/>
    <w:rsid w:val="00242BA4"/>
    <w:rsid w:val="002750E1"/>
    <w:rsid w:val="002A2D04"/>
    <w:rsid w:val="002B48AB"/>
    <w:rsid w:val="002C1A68"/>
    <w:rsid w:val="002F51E3"/>
    <w:rsid w:val="00305DD0"/>
    <w:rsid w:val="00325B22"/>
    <w:rsid w:val="00346242"/>
    <w:rsid w:val="00356F2E"/>
    <w:rsid w:val="003747A1"/>
    <w:rsid w:val="00376B73"/>
    <w:rsid w:val="00381932"/>
    <w:rsid w:val="00382C33"/>
    <w:rsid w:val="003A0541"/>
    <w:rsid w:val="003A72E0"/>
    <w:rsid w:val="003A7A21"/>
    <w:rsid w:val="003B3913"/>
    <w:rsid w:val="003E2FE4"/>
    <w:rsid w:val="004073B8"/>
    <w:rsid w:val="00414C2C"/>
    <w:rsid w:val="00417365"/>
    <w:rsid w:val="0043595B"/>
    <w:rsid w:val="00442F31"/>
    <w:rsid w:val="00450AC9"/>
    <w:rsid w:val="00452F78"/>
    <w:rsid w:val="00472474"/>
    <w:rsid w:val="004738E3"/>
    <w:rsid w:val="0047740C"/>
    <w:rsid w:val="004B0F77"/>
    <w:rsid w:val="004B3765"/>
    <w:rsid w:val="004B6284"/>
    <w:rsid w:val="004E5434"/>
    <w:rsid w:val="004F1E1B"/>
    <w:rsid w:val="004F297B"/>
    <w:rsid w:val="005046F6"/>
    <w:rsid w:val="00546F04"/>
    <w:rsid w:val="00567443"/>
    <w:rsid w:val="005822D3"/>
    <w:rsid w:val="00591F6A"/>
    <w:rsid w:val="005B115A"/>
    <w:rsid w:val="005B1E95"/>
    <w:rsid w:val="005E413F"/>
    <w:rsid w:val="005E6272"/>
    <w:rsid w:val="006000D2"/>
    <w:rsid w:val="00612D12"/>
    <w:rsid w:val="006279BD"/>
    <w:rsid w:val="006423B9"/>
    <w:rsid w:val="00646ADF"/>
    <w:rsid w:val="00670682"/>
    <w:rsid w:val="0067362D"/>
    <w:rsid w:val="00676C8A"/>
    <w:rsid w:val="00682540"/>
    <w:rsid w:val="00694E2F"/>
    <w:rsid w:val="006B5F52"/>
    <w:rsid w:val="006E5D2A"/>
    <w:rsid w:val="00705A57"/>
    <w:rsid w:val="00710EA1"/>
    <w:rsid w:val="00713E06"/>
    <w:rsid w:val="0072305C"/>
    <w:rsid w:val="00742F51"/>
    <w:rsid w:val="00796158"/>
    <w:rsid w:val="00797243"/>
    <w:rsid w:val="007B267A"/>
    <w:rsid w:val="007B4EF0"/>
    <w:rsid w:val="007D1B7A"/>
    <w:rsid w:val="007E62BD"/>
    <w:rsid w:val="007F3478"/>
    <w:rsid w:val="007F34B2"/>
    <w:rsid w:val="00803525"/>
    <w:rsid w:val="00803822"/>
    <w:rsid w:val="008363FA"/>
    <w:rsid w:val="00865354"/>
    <w:rsid w:val="00871356"/>
    <w:rsid w:val="00874409"/>
    <w:rsid w:val="008750C8"/>
    <w:rsid w:val="0089380D"/>
    <w:rsid w:val="008D1565"/>
    <w:rsid w:val="008E40FD"/>
    <w:rsid w:val="008F5641"/>
    <w:rsid w:val="009033DC"/>
    <w:rsid w:val="009176A7"/>
    <w:rsid w:val="00971FCB"/>
    <w:rsid w:val="00986228"/>
    <w:rsid w:val="009E3DD4"/>
    <w:rsid w:val="00A01F9B"/>
    <w:rsid w:val="00A1003C"/>
    <w:rsid w:val="00A1427C"/>
    <w:rsid w:val="00A17F25"/>
    <w:rsid w:val="00A641FF"/>
    <w:rsid w:val="00A70936"/>
    <w:rsid w:val="00A747D5"/>
    <w:rsid w:val="00A80800"/>
    <w:rsid w:val="00A81699"/>
    <w:rsid w:val="00AA71E8"/>
    <w:rsid w:val="00AB1923"/>
    <w:rsid w:val="00AB529F"/>
    <w:rsid w:val="00AC0317"/>
    <w:rsid w:val="00AC1886"/>
    <w:rsid w:val="00AC2E2F"/>
    <w:rsid w:val="00AD1DBF"/>
    <w:rsid w:val="00AD531F"/>
    <w:rsid w:val="00B023A7"/>
    <w:rsid w:val="00B06539"/>
    <w:rsid w:val="00B14116"/>
    <w:rsid w:val="00B3416C"/>
    <w:rsid w:val="00B40590"/>
    <w:rsid w:val="00B45044"/>
    <w:rsid w:val="00B45177"/>
    <w:rsid w:val="00B533EB"/>
    <w:rsid w:val="00B53601"/>
    <w:rsid w:val="00B633A3"/>
    <w:rsid w:val="00B841FF"/>
    <w:rsid w:val="00BA66AE"/>
    <w:rsid w:val="00BC2BD4"/>
    <w:rsid w:val="00BC7288"/>
    <w:rsid w:val="00BE3AA3"/>
    <w:rsid w:val="00BE7435"/>
    <w:rsid w:val="00C04BF7"/>
    <w:rsid w:val="00C108BA"/>
    <w:rsid w:val="00C308E0"/>
    <w:rsid w:val="00C31CC1"/>
    <w:rsid w:val="00C5260B"/>
    <w:rsid w:val="00C63489"/>
    <w:rsid w:val="00C671DE"/>
    <w:rsid w:val="00C7112A"/>
    <w:rsid w:val="00CD73D9"/>
    <w:rsid w:val="00D14F10"/>
    <w:rsid w:val="00D30FD6"/>
    <w:rsid w:val="00D31B74"/>
    <w:rsid w:val="00D61A3E"/>
    <w:rsid w:val="00D65154"/>
    <w:rsid w:val="00D673E9"/>
    <w:rsid w:val="00D704F6"/>
    <w:rsid w:val="00D8016B"/>
    <w:rsid w:val="00DA2A9D"/>
    <w:rsid w:val="00DA6A05"/>
    <w:rsid w:val="00DA6F94"/>
    <w:rsid w:val="00DC3887"/>
    <w:rsid w:val="00DC5B76"/>
    <w:rsid w:val="00DF6691"/>
    <w:rsid w:val="00E2487A"/>
    <w:rsid w:val="00E5068A"/>
    <w:rsid w:val="00E605D0"/>
    <w:rsid w:val="00E64DEF"/>
    <w:rsid w:val="00E7552A"/>
    <w:rsid w:val="00E93349"/>
    <w:rsid w:val="00EC2364"/>
    <w:rsid w:val="00EC3ED9"/>
    <w:rsid w:val="00ED4F1A"/>
    <w:rsid w:val="00EE6C26"/>
    <w:rsid w:val="00EE79D9"/>
    <w:rsid w:val="00F04A48"/>
    <w:rsid w:val="00F9584B"/>
    <w:rsid w:val="00FB5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FA1DB0"/>
  <w15:chartTrackingRefBased/>
  <w15:docId w15:val="{090432C4-F901-4A8E-9109-A8A9019656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2FE4"/>
    <w:rPr>
      <w:color w:val="222A35" w:themeColor="text2" w:themeShade="80"/>
    </w:rPr>
  </w:style>
  <w:style w:type="paragraph" w:styleId="Titre1">
    <w:name w:val="heading 1"/>
    <w:basedOn w:val="Normal"/>
    <w:next w:val="Normal"/>
    <w:link w:val="Titre1Car"/>
    <w:uiPriority w:val="9"/>
    <w:qFormat/>
    <w:rsid w:val="00C671D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44546A" w:themeColor="text2"/>
      <w:sz w:val="36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BE743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44546A" w:themeColor="text2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C671DE"/>
    <w:pPr>
      <w:keepNext/>
      <w:keepLines/>
      <w:spacing w:before="160" w:after="80"/>
      <w:outlineLvl w:val="2"/>
    </w:pPr>
    <w:rPr>
      <w:rFonts w:eastAsiaTheme="majorEastAsia" w:cstheme="majorBidi"/>
      <w:color w:val="323E4F" w:themeColor="text2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11032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23E4F" w:themeColor="text2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D31B7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D31B7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D31B7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D31B7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D31B7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C671DE"/>
    <w:rPr>
      <w:rFonts w:asciiTheme="majorHAnsi" w:eastAsiaTheme="majorEastAsia" w:hAnsiTheme="majorHAnsi" w:cstheme="majorBidi"/>
      <w:color w:val="44546A" w:themeColor="text2"/>
      <w:sz w:val="36"/>
      <w:szCs w:val="40"/>
    </w:rPr>
  </w:style>
  <w:style w:type="character" w:customStyle="1" w:styleId="Titre2Car">
    <w:name w:val="Titre 2 Car"/>
    <w:basedOn w:val="Policepardfaut"/>
    <w:link w:val="Titre2"/>
    <w:uiPriority w:val="9"/>
    <w:rsid w:val="00BE7435"/>
    <w:rPr>
      <w:rFonts w:asciiTheme="majorHAnsi" w:eastAsiaTheme="majorEastAsia" w:hAnsiTheme="majorHAnsi" w:cstheme="majorBidi"/>
      <w:color w:val="44546A" w:themeColor="text2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rsid w:val="00C671DE"/>
    <w:rPr>
      <w:rFonts w:eastAsiaTheme="majorEastAsia" w:cstheme="majorBidi"/>
      <w:color w:val="323E4F" w:themeColor="text2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rsid w:val="00110320"/>
    <w:rPr>
      <w:rFonts w:eastAsiaTheme="majorEastAsia" w:cstheme="majorBidi"/>
      <w:i/>
      <w:iCs/>
      <w:color w:val="323E4F" w:themeColor="text2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D31B74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D31B74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D31B74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D31B74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D31B74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C671D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40"/>
      <w:szCs w:val="56"/>
    </w:rPr>
  </w:style>
  <w:style w:type="character" w:customStyle="1" w:styleId="TitreCar">
    <w:name w:val="Titre Car"/>
    <w:basedOn w:val="Policepardfaut"/>
    <w:link w:val="Titre"/>
    <w:uiPriority w:val="10"/>
    <w:rsid w:val="00C671DE"/>
    <w:rPr>
      <w:rFonts w:asciiTheme="majorHAnsi" w:eastAsiaTheme="majorEastAsia" w:hAnsiTheme="majorHAnsi" w:cstheme="majorBidi"/>
      <w:color w:val="222A35" w:themeColor="text2" w:themeShade="80"/>
      <w:spacing w:val="-10"/>
      <w:kern w:val="28"/>
      <w:sz w:val="40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31B7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D31B7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D31B7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D31B74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D31B74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D31B74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D31B7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D31B74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D31B74"/>
    <w:rPr>
      <w:b/>
      <w:bCs/>
      <w:smallCaps/>
      <w:color w:val="2F5496" w:themeColor="accent1" w:themeShade="BF"/>
      <w:spacing w:val="5"/>
    </w:rPr>
  </w:style>
  <w:style w:type="paragraph" w:styleId="Lgende">
    <w:name w:val="caption"/>
    <w:basedOn w:val="Normal"/>
    <w:next w:val="Normal"/>
    <w:uiPriority w:val="35"/>
    <w:unhideWhenUsed/>
    <w:qFormat/>
    <w:rsid w:val="00D31B7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203F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03FA7"/>
  </w:style>
  <w:style w:type="paragraph" w:styleId="Pieddepage">
    <w:name w:val="footer"/>
    <w:basedOn w:val="Normal"/>
    <w:link w:val="PieddepageCar"/>
    <w:uiPriority w:val="99"/>
    <w:unhideWhenUsed/>
    <w:rsid w:val="00203F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03FA7"/>
  </w:style>
  <w:style w:type="paragraph" w:styleId="Sansinterligne">
    <w:name w:val="No Spacing"/>
    <w:link w:val="SansinterligneCar"/>
    <w:uiPriority w:val="1"/>
    <w:qFormat/>
    <w:rsid w:val="00356F2E"/>
    <w:pPr>
      <w:spacing w:after="0" w:line="240" w:lineRule="auto"/>
    </w:pPr>
    <w:rPr>
      <w:rFonts w:eastAsiaTheme="minorEastAsia"/>
      <w:lang w:eastAsia="fr-CH"/>
    </w:rPr>
  </w:style>
  <w:style w:type="character" w:customStyle="1" w:styleId="SansinterligneCar">
    <w:name w:val="Sans interligne Car"/>
    <w:basedOn w:val="Policepardfaut"/>
    <w:link w:val="Sansinterligne"/>
    <w:uiPriority w:val="1"/>
    <w:rsid w:val="00356F2E"/>
    <w:rPr>
      <w:rFonts w:eastAsiaTheme="minorEastAsia"/>
      <w:lang w:eastAsia="fr-CH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AA71E8"/>
    <w:pPr>
      <w:spacing w:before="240" w:after="0"/>
      <w:outlineLvl w:val="9"/>
    </w:pPr>
    <w:rPr>
      <w:sz w:val="32"/>
      <w:szCs w:val="32"/>
      <w:lang w:eastAsia="fr-CH"/>
    </w:rPr>
  </w:style>
  <w:style w:type="paragraph" w:styleId="TM1">
    <w:name w:val="toc 1"/>
    <w:basedOn w:val="Normal"/>
    <w:next w:val="Normal"/>
    <w:autoRedefine/>
    <w:uiPriority w:val="39"/>
    <w:unhideWhenUsed/>
    <w:rsid w:val="00AA71E8"/>
    <w:pPr>
      <w:spacing w:after="100"/>
    </w:pPr>
  </w:style>
  <w:style w:type="character" w:styleId="Lienhypertexte">
    <w:name w:val="Hyperlink"/>
    <w:basedOn w:val="Policepardfaut"/>
    <w:uiPriority w:val="99"/>
    <w:unhideWhenUsed/>
    <w:rsid w:val="00AA71E8"/>
    <w:rPr>
      <w:color w:val="0563C1" w:themeColor="hyperlink"/>
      <w:u w:val="single"/>
    </w:rPr>
  </w:style>
  <w:style w:type="paragraph" w:styleId="TM2">
    <w:name w:val="toc 2"/>
    <w:basedOn w:val="Normal"/>
    <w:next w:val="Normal"/>
    <w:autoRedefine/>
    <w:uiPriority w:val="39"/>
    <w:unhideWhenUsed/>
    <w:rsid w:val="00C671DE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unhideWhenUsed/>
    <w:rsid w:val="00AB529F"/>
    <w:pPr>
      <w:spacing w:after="100"/>
      <w:ind w:left="440"/>
    </w:pPr>
  </w:style>
  <w:style w:type="paragraph" w:styleId="Bibliographie">
    <w:name w:val="Bibliography"/>
    <w:basedOn w:val="Normal"/>
    <w:next w:val="Normal"/>
    <w:uiPriority w:val="37"/>
    <w:unhideWhenUsed/>
    <w:rsid w:val="00AC2E2F"/>
  </w:style>
  <w:style w:type="paragraph" w:styleId="NormalWeb">
    <w:name w:val="Normal (Web)"/>
    <w:basedOn w:val="Normal"/>
    <w:uiPriority w:val="99"/>
    <w:semiHidden/>
    <w:unhideWhenUsed/>
    <w:rsid w:val="00B023A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color w:val="auto"/>
      <w:sz w:val="24"/>
      <w:szCs w:val="24"/>
      <w:lang w:eastAsia="fr-CH"/>
    </w:rPr>
  </w:style>
  <w:style w:type="character" w:styleId="lev">
    <w:name w:val="Strong"/>
    <w:basedOn w:val="Policepardfaut"/>
    <w:uiPriority w:val="22"/>
    <w:qFormat/>
    <w:rsid w:val="00B023A7"/>
    <w:rPr>
      <w:b/>
      <w:bCs/>
    </w:rPr>
  </w:style>
  <w:style w:type="character" w:styleId="Accentuation">
    <w:name w:val="Emphasis"/>
    <w:basedOn w:val="Policepardfaut"/>
    <w:uiPriority w:val="20"/>
    <w:qFormat/>
    <w:rsid w:val="00B023A7"/>
    <w:rPr>
      <w:i/>
      <w:iCs/>
    </w:rPr>
  </w:style>
  <w:style w:type="table" w:styleId="Grilledutableau">
    <w:name w:val="Table Grid"/>
    <w:basedOn w:val="TableauNormal"/>
    <w:uiPriority w:val="39"/>
    <w:rsid w:val="00DC5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7123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26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3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6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3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30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98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eader" Target="header1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theme" Target="theme/theme1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FA398DAF88E246C99B44B6CCDA77E66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7E70E8F-637D-45E6-9545-DC8981CDAFB6}"/>
      </w:docPartPr>
      <w:docPartBody>
        <w:p w:rsidR="00AD3A60" w:rsidRDefault="005F3AC4" w:rsidP="005F3AC4">
          <w:pPr>
            <w:pStyle w:val="FA398DAF88E246C99B44B6CCDA77E664"/>
          </w:pPr>
          <w:r>
            <w:rPr>
              <w:color w:val="156082" w:themeColor="accent1"/>
              <w:sz w:val="28"/>
              <w:szCs w:val="28"/>
              <w:lang w:val="fr-FR"/>
            </w:rPr>
            <w:t>[Nom de l’auteur]</w:t>
          </w:r>
        </w:p>
      </w:docPartBody>
    </w:docPart>
    <w:docPart>
      <w:docPartPr>
        <w:name w:val="E88D9A757BE6458797CE745F2348D7D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5492A69-56C0-4AB2-B133-FB5464462BF3}"/>
      </w:docPartPr>
      <w:docPartBody>
        <w:p w:rsidR="00AD3A60" w:rsidRDefault="005F3AC4" w:rsidP="005F3AC4">
          <w:pPr>
            <w:pStyle w:val="E88D9A757BE6458797CE745F2348D7DF"/>
          </w:pPr>
          <w:r>
            <w:rPr>
              <w:color w:val="156082" w:themeColor="accent1"/>
              <w:sz w:val="28"/>
              <w:szCs w:val="28"/>
              <w:lang w:val="fr-FR"/>
            </w:rPr>
            <w:t>[Date]</w:t>
          </w:r>
        </w:p>
      </w:docPartBody>
    </w:docPart>
    <w:docPart>
      <w:docPartPr>
        <w:name w:val="F18B1B0F45AB40CAA935B37EBD830EC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57527DF-33CA-4C94-8723-02B002D379E4}"/>
      </w:docPartPr>
      <w:docPartBody>
        <w:p w:rsidR="00537426" w:rsidRDefault="00187F90" w:rsidP="00187F90">
          <w:pPr>
            <w:pStyle w:val="F18B1B0F45AB40CAA935B37EBD830EC6"/>
          </w:pPr>
          <w:r>
            <w:rPr>
              <w:color w:val="0F4761" w:themeColor="accent1" w:themeShade="BF"/>
              <w:lang w:val="fr-FR"/>
            </w:rPr>
            <w:t>[Nom de la société]</w:t>
          </w:r>
        </w:p>
      </w:docPartBody>
    </w:docPart>
    <w:docPart>
      <w:docPartPr>
        <w:name w:val="CFE12B6849114CB99BC9E8E226A3547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858D12B-13FA-42E3-8BB7-7F05D93274EA}"/>
      </w:docPartPr>
      <w:docPartBody>
        <w:p w:rsidR="00537426" w:rsidRDefault="00187F90" w:rsidP="00187F90">
          <w:pPr>
            <w:pStyle w:val="CFE12B6849114CB99BC9E8E226A35472"/>
          </w:pPr>
          <w:r>
            <w:rPr>
              <w:rFonts w:asciiTheme="majorHAnsi" w:eastAsiaTheme="majorEastAsia" w:hAnsiTheme="majorHAnsi" w:cstheme="majorBidi"/>
              <w:color w:val="156082" w:themeColor="accent1"/>
              <w:sz w:val="88"/>
              <w:szCs w:val="88"/>
              <w:lang w:val="fr-FR"/>
            </w:rPr>
            <w:t>[Titre du document]</w:t>
          </w:r>
        </w:p>
      </w:docPartBody>
    </w:docPart>
    <w:docPart>
      <w:docPartPr>
        <w:name w:val="5A5762BC469F41BEB9C73F1E1AF81B5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82FE421-2AFB-4CBC-A7DD-A1A4A369E318}"/>
      </w:docPartPr>
      <w:docPartBody>
        <w:p w:rsidR="00537426" w:rsidRDefault="00187F90" w:rsidP="00187F90">
          <w:pPr>
            <w:pStyle w:val="5A5762BC469F41BEB9C73F1E1AF81B58"/>
          </w:pPr>
          <w:r>
            <w:rPr>
              <w:color w:val="0F4761" w:themeColor="accent1" w:themeShade="BF"/>
              <w:lang w:val="fr-FR"/>
            </w:rPr>
            <w:t>[Sous-titre du document]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3AC4"/>
    <w:rsid w:val="00092627"/>
    <w:rsid w:val="00187F90"/>
    <w:rsid w:val="002F51E3"/>
    <w:rsid w:val="004A6495"/>
    <w:rsid w:val="00537426"/>
    <w:rsid w:val="005B1E95"/>
    <w:rsid w:val="005E2BE7"/>
    <w:rsid w:val="005F3AC4"/>
    <w:rsid w:val="007D38D0"/>
    <w:rsid w:val="0098175A"/>
    <w:rsid w:val="00A2686C"/>
    <w:rsid w:val="00A70936"/>
    <w:rsid w:val="00AC29B2"/>
    <w:rsid w:val="00AD3A60"/>
    <w:rsid w:val="00B533EB"/>
    <w:rsid w:val="00C04BF7"/>
    <w:rsid w:val="00D14F10"/>
    <w:rsid w:val="00D400FC"/>
    <w:rsid w:val="00D673E9"/>
    <w:rsid w:val="00DF6691"/>
    <w:rsid w:val="00F32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CH" w:eastAsia="fr-CH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FA398DAF88E246C99B44B6CCDA77E664">
    <w:name w:val="FA398DAF88E246C99B44B6CCDA77E664"/>
    <w:rsid w:val="005F3AC4"/>
  </w:style>
  <w:style w:type="paragraph" w:customStyle="1" w:styleId="E88D9A757BE6458797CE745F2348D7DF">
    <w:name w:val="E88D9A757BE6458797CE745F2348D7DF"/>
    <w:rsid w:val="005F3AC4"/>
  </w:style>
  <w:style w:type="paragraph" w:customStyle="1" w:styleId="F18B1B0F45AB40CAA935B37EBD830EC6">
    <w:name w:val="F18B1B0F45AB40CAA935B37EBD830EC6"/>
    <w:rsid w:val="00187F90"/>
  </w:style>
  <w:style w:type="paragraph" w:customStyle="1" w:styleId="CFE12B6849114CB99BC9E8E226A35472">
    <w:name w:val="CFE12B6849114CB99BC9E8E226A35472"/>
    <w:rsid w:val="00187F90"/>
  </w:style>
  <w:style w:type="paragraph" w:customStyle="1" w:styleId="5A5762BC469F41BEB9C73F1E1AF81B58">
    <w:name w:val="5A5762BC469F41BEB9C73F1E1AF81B58"/>
    <w:rsid w:val="00187F9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2025-10-30T00:00:00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Col25</b:Tag>
    <b:SourceType>Misc</b:SourceType>
    <b:Guid>{0D726360-88A7-4B1A-BC8D-3423D6E64B6F}</b:Guid>
    <b:Title>Module 3-APH - Support théorique</b:Title>
    <b:Year>2025</b:Year>
    <b:Author>
      <b:Author>
        <b:NameList>
          <b:Person>
            <b:Last>Collectif d’auteurs</b:Last>
            <b:First>Equipe</b:First>
            <b:Middle>pédagogique des cours professionnels</b:Middle>
          </b:Person>
        </b:NameList>
      </b:Author>
    </b:Author>
    <b:PublicationTitle>Accompagner les Personnes</b:PublicationTitle>
    <b:City>Yverdon</b:City>
    <b:CountryRegion>Suisse- VD</b:CountryRegion>
    <b:Publisher>NV, Ecole Professionnelle Sociale Yverdon</b:Publisher>
    <b:RefOrder>1</b:RefOrder>
  </b:Source>
  <b:Source>
    <b:Tag>Col251</b:Tag>
    <b:SourceType>Misc</b:SourceType>
    <b:Guid>{D5FA1B8D-BFD4-449D-A1B4-ABDEE8DA6F62}</b:Guid>
    <b:Author>
      <b:Author>
        <b:NameList>
          <b:Person>
            <b:Last>Collectif d’auteurs</b:Last>
            <b:First>Equipe</b:First>
            <b:Middle>pédagogique des cours professionnels</b:Middle>
          </b:Person>
        </b:NameList>
      </b:Author>
    </b:Author>
    <b:Title>Module 3-OBI</b:Title>
    <b:PublicationTitle>Observer et Intervenir </b:PublicationTitle>
    <b:Year>2025</b:Year>
    <b:City>Yverdon</b:City>
    <b:CountryRegion>Suisse - VD</b:CountryRegion>
    <b:Publisher>CPNV, Ecole Professionnelle Sociale Yverdon </b:Publisher>
    <b:RefOrder>2</b:RefOrder>
  </b:Source>
  <b:Source>
    <b:Tag>Tob23</b:Tag>
    <b:SourceType>Misc</b:SourceType>
    <b:Guid>{633D4EC7-0492-46B0-81FE-CCAD120777D7}</b:Guid>
    <b:Author>
      <b:Author>
        <b:NameList>
          <b:Person>
            <b:Last>Anne</b:Last>
            <b:First>Tobler</b:First>
          </b:Person>
        </b:NameList>
      </b:Author>
    </b:Author>
    <b:Title>Surdicécité, Késako ?</b:Title>
    <b:PublicationTitle>Master en pédagogie spécialisée : A la recherche des moyens de communication par les sens</b:PublicationTitle>
    <b:Year>2023</b:Year>
    <b:Month>avril</b:Month>
    <b:City>Bienne</b:City>
    <b:CountryRegion>Suisse - BE</b:CountryRegion>
    <b:Publisher>Haute école pédagogique Béjune</b:Publisher>
    <b:RefOrder>3</b:RefOrder>
  </b:Source>
  <b:Source>
    <b:Tag>htt252</b:Tag>
    <b:SourceType>DocumentFromInternetSite</b:SourceType>
    <b:Guid>{90E1B2B7-64F0-4830-AEAA-6C3E5FF264E0}</b:Guid>
    <b:Title>https://magazine.cflou.com/quest-ce-que-la-malvoyance/</b:Title>
    <b:Year>2025</b:Year>
    <b:Month>10</b:Month>
    <b:Day>30</b:Day>
    <b:Author>
      <b:Author>
        <b:NameList>
          <b:Person>
            <b:Last>https://magazine.cflou.com/quest-ce-que-la-malvoyance/</b:Last>
          </b:Person>
        </b:NameList>
      </b:Author>
    </b:Author>
    <b:InternetSiteTitle>https://magazine.cflou.com/quest-ce-que-la-malvoyance/</b:InternetSiteTitle>
    <b:URL>https://magazine.cflou.com/quest-ce-que-la-malvoyance/</b:URL>
    <b:RefOrder>4</b:RefOrder>
  </b:Source>
  <b:Source>
    <b:Tag>htt253</b:Tag>
    <b:SourceType>DocumentFromInternetSite</b:SourceType>
    <b:Guid>{3B0A6F72-6618-4D01-A702-5669F27FADD2}</b:Guid>
    <b:Author>
      <b:Author>
        <b:Corporate>https://www.vivason.fr/votre-audition/oreille</b:Corporate>
      </b:Author>
    </b:Author>
    <b:Title>https://www.vivason.fr/votre-audition/oreille</b:Title>
    <b:InternetSiteTitle>https://www.vivason.fr/votre-audition/oreille</b:InternetSiteTitle>
    <b:Year>2025</b:Year>
    <b:Month>10</b:Month>
    <b:Day>30</b:Day>
    <b:URL>https://www.vivason.fr/votre-audition/oreille</b:URL>
    <b:RefOrder>5</b:RefOrder>
  </b:Source>
</b:Sourc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77123EA-7CAD-4B39-8621-B09F851079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13</Pages>
  <Words>603</Words>
  <Characters>3318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Les dispositifs socioprofessionnels</vt:lpstr>
    </vt:vector>
  </TitlesOfParts>
  <Company>Arpih</Company>
  <LinksUpToDate>false</LinksUpToDate>
  <CharactersWithSpaces>3914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 dispositifs socioprofessionnels</dc:title>
  <dc:subject>Les handicaps sensoriels</dc:subject>
  <dc:creator>Timoté Sonzogni, Florian Scherrer, Dino Moeschler</dc:creator>
  <cp:keywords/>
  <dc:description/>
  <cp:lastModifiedBy>Florian Scherrer</cp:lastModifiedBy>
  <cp:revision>7</cp:revision>
  <cp:lastPrinted>2025-10-30T14:22:00Z</cp:lastPrinted>
  <dcterms:created xsi:type="dcterms:W3CDTF">2025-11-13T14:17:00Z</dcterms:created>
  <dcterms:modified xsi:type="dcterms:W3CDTF">2025-11-14T10:09:00Z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zotero-version="7.0.27"&gt;&lt;session id="NYNLv7Al"/&gt;&lt;style id="http://www.zotero.org/styles/american-chemical-society" hasBibliography="1" bibliographyStyleHasBeenSet="0"/&gt;&lt;prefs&gt;&lt;pref name="fieldType" value="Field"/&gt;&lt;/prefs&gt;&lt;/data&gt;</vt:lpwstr>
  </property>
</Properties>
</file>