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AA" w:rsidRDefault="009535AA">
      <w:pPr>
        <w:rPr>
          <w:b/>
          <w:sz w:val="32"/>
          <w:szCs w:val="32"/>
        </w:rPr>
      </w:pPr>
      <w:bookmarkStart w:id="0" w:name="_GoBack"/>
      <w:bookmarkEnd w:id="0"/>
      <w:r w:rsidRPr="009535AA">
        <w:rPr>
          <w:b/>
          <w:sz w:val="32"/>
          <w:szCs w:val="32"/>
        </w:rPr>
        <w:t>L’UNIONE EUROPEA.</w:t>
      </w:r>
    </w:p>
    <w:p w:rsidR="009535AA" w:rsidRDefault="009535AA" w:rsidP="009535A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/>
          <w:color w:val="222222"/>
          <w:sz w:val="21"/>
          <w:szCs w:val="21"/>
        </w:rPr>
      </w:pPr>
      <w:r>
        <w:rPr>
          <w:rFonts w:ascii="Arial" w:hAnsi="Arial"/>
          <w:color w:val="222222"/>
          <w:sz w:val="21"/>
          <w:szCs w:val="21"/>
        </w:rPr>
        <w:t>L'</w:t>
      </w:r>
      <w:r>
        <w:rPr>
          <w:rFonts w:ascii="Arial" w:hAnsi="Arial"/>
          <w:b/>
          <w:bCs/>
          <w:color w:val="222222"/>
          <w:sz w:val="21"/>
          <w:szCs w:val="21"/>
        </w:rPr>
        <w:t>Unione europea</w:t>
      </w:r>
      <w:r>
        <w:rPr>
          <w:rFonts w:ascii="Arial" w:hAnsi="Arial"/>
          <w:color w:val="222222"/>
          <w:sz w:val="21"/>
          <w:szCs w:val="21"/>
        </w:rPr>
        <w:t xml:space="preserve"> è un'</w:t>
      </w:r>
      <w:hyperlink r:id="rId4" w:tooltip="Organizzazione internazional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organizzazione internazionale</w:t>
        </w:r>
      </w:hyperlink>
      <w:r>
        <w:rPr>
          <w:rFonts w:ascii="Arial" w:hAnsi="Arial"/>
          <w:color w:val="222222"/>
          <w:sz w:val="21"/>
          <w:szCs w:val="21"/>
        </w:rPr>
        <w:t xml:space="preserve"> </w:t>
      </w:r>
      <w:hyperlink r:id="rId5" w:tooltip="Politic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politica</w:t>
        </w:r>
      </w:hyperlink>
      <w:r>
        <w:rPr>
          <w:rFonts w:ascii="Arial" w:hAnsi="Arial"/>
          <w:color w:val="222222"/>
          <w:sz w:val="21"/>
          <w:szCs w:val="21"/>
        </w:rPr>
        <w:t> ed </w:t>
      </w:r>
      <w:hyperlink r:id="rId6" w:tooltip="Economic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economica</w:t>
        </w:r>
      </w:hyperlink>
      <w:r>
        <w:rPr>
          <w:rFonts w:ascii="Arial" w:hAnsi="Arial"/>
          <w:color w:val="222222"/>
          <w:sz w:val="21"/>
          <w:szCs w:val="21"/>
        </w:rPr>
        <w:t xml:space="preserve"> che comprende 28 </w:t>
      </w:r>
      <w:hyperlink r:id="rId7" w:tooltip="Paesi membri dell'Unione europe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paesi membri</w:t>
        </w:r>
      </w:hyperlink>
      <w:r>
        <w:rPr>
          <w:rFonts w:ascii="Arial" w:hAnsi="Arial"/>
          <w:color w:val="222222"/>
          <w:sz w:val="21"/>
          <w:szCs w:val="21"/>
        </w:rPr>
        <w:t> indipendenti e democratici. La sua formazione risale al </w:t>
      </w:r>
      <w:hyperlink r:id="rId8" w:tooltip="Trattato che istituisce la Comunità economica europe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trattato di Roma</w:t>
        </w:r>
      </w:hyperlink>
      <w:r>
        <w:rPr>
          <w:rFonts w:ascii="Arial" w:hAnsi="Arial"/>
          <w:color w:val="222222"/>
          <w:sz w:val="21"/>
          <w:szCs w:val="21"/>
        </w:rPr>
        <w:t> del 25 marzo 1957</w:t>
      </w:r>
      <w:r w:rsidR="00E4797D">
        <w:rPr>
          <w:rFonts w:ascii="Arial" w:hAnsi="Arial"/>
          <w:color w:val="222222"/>
          <w:sz w:val="21"/>
          <w:szCs w:val="21"/>
        </w:rPr>
        <w:t xml:space="preserve"> (CEE) </w:t>
      </w:r>
      <w:r>
        <w:rPr>
          <w:rFonts w:ascii="Arial" w:hAnsi="Arial"/>
          <w:color w:val="222222"/>
          <w:sz w:val="21"/>
          <w:szCs w:val="21"/>
        </w:rPr>
        <w:t>, la denominazione attuale al </w:t>
      </w:r>
      <w:hyperlink r:id="rId9" w:tooltip="Trattato di Maastricht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trattato di Maastricht</w:t>
        </w:r>
      </w:hyperlink>
      <w:r>
        <w:rPr>
          <w:rFonts w:ascii="Arial" w:hAnsi="Arial"/>
          <w:color w:val="222222"/>
          <w:sz w:val="21"/>
          <w:szCs w:val="21"/>
        </w:rPr>
        <w:t> del 7 febbraio </w:t>
      </w:r>
      <w:hyperlink r:id="rId10" w:tooltip="1992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1992</w:t>
        </w:r>
      </w:hyperlink>
      <w:r>
        <w:rPr>
          <w:rFonts w:ascii="Arial" w:hAnsi="Arial"/>
          <w:color w:val="222222"/>
          <w:sz w:val="21"/>
          <w:szCs w:val="21"/>
        </w:rPr>
        <w:t> (entrato in vigore il 1º novembre </w:t>
      </w:r>
      <w:hyperlink r:id="rId11" w:tooltip="1993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1993</w:t>
        </w:r>
      </w:hyperlink>
      <w:r>
        <w:rPr>
          <w:rFonts w:ascii="Arial" w:hAnsi="Arial"/>
          <w:color w:val="222222"/>
          <w:sz w:val="21"/>
          <w:szCs w:val="21"/>
        </w:rPr>
        <w:t>), e l'istituzione ufficiale al </w:t>
      </w:r>
      <w:hyperlink r:id="rId12" w:tooltip="2002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2002</w:t>
        </w:r>
      </w:hyperlink>
      <w:r>
        <w:rPr>
          <w:rFonts w:ascii="Arial" w:hAnsi="Arial"/>
          <w:color w:val="222222"/>
          <w:sz w:val="21"/>
          <w:szCs w:val="21"/>
        </w:rPr>
        <w:t xml:space="preserve"> con l'avvento della moneta unica. </w:t>
      </w:r>
    </w:p>
    <w:p w:rsidR="009535AA" w:rsidRDefault="009535AA" w:rsidP="009535A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/>
          <w:color w:val="222222"/>
          <w:sz w:val="21"/>
          <w:szCs w:val="21"/>
        </w:rPr>
      </w:pPr>
      <w:r>
        <w:rPr>
          <w:rFonts w:ascii="Arial" w:hAnsi="Arial"/>
          <w:color w:val="222222"/>
          <w:sz w:val="21"/>
          <w:szCs w:val="21"/>
        </w:rPr>
        <w:t>Questa garantisce la libera circolazione di persone, </w:t>
      </w:r>
      <w:hyperlink r:id="rId13" w:tooltip="Merc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merci</w:t>
        </w:r>
      </w:hyperlink>
      <w:r>
        <w:rPr>
          <w:rFonts w:ascii="Arial" w:hAnsi="Arial"/>
          <w:color w:val="222222"/>
          <w:sz w:val="21"/>
          <w:szCs w:val="21"/>
        </w:rPr>
        <w:t>, </w:t>
      </w:r>
      <w:hyperlink r:id="rId14" w:tooltip="Settore terziario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servizi</w:t>
        </w:r>
      </w:hyperlink>
      <w:r>
        <w:rPr>
          <w:rFonts w:ascii="Arial" w:hAnsi="Arial"/>
          <w:color w:val="222222"/>
          <w:sz w:val="21"/>
          <w:szCs w:val="21"/>
        </w:rPr>
        <w:t> e </w:t>
      </w:r>
      <w:hyperlink r:id="rId15" w:tooltip="Capitale (economia)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capitali</w:t>
        </w:r>
      </w:hyperlink>
      <w:r>
        <w:rPr>
          <w:rFonts w:ascii="Arial" w:hAnsi="Arial"/>
          <w:color w:val="222222"/>
          <w:sz w:val="21"/>
          <w:szCs w:val="21"/>
        </w:rPr>
        <w:t> all'interno del suo territorio attraverso un </w:t>
      </w:r>
      <w:hyperlink r:id="rId16" w:tooltip="Mercato europeo comun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mercato europeo comune</w:t>
        </w:r>
      </w:hyperlink>
      <w:r>
        <w:rPr>
          <w:rFonts w:ascii="Arial" w:hAnsi="Arial"/>
          <w:color w:val="222222"/>
          <w:sz w:val="21"/>
          <w:szCs w:val="21"/>
        </w:rPr>
        <w:t> e la </w:t>
      </w:r>
      <w:hyperlink r:id="rId17" w:tooltip="Cittadinanza dell'Unione europe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cittadinanza dell'Unione europea</w:t>
        </w:r>
      </w:hyperlink>
      <w:r>
        <w:rPr>
          <w:rFonts w:ascii="Arial" w:hAnsi="Arial"/>
          <w:color w:val="222222"/>
          <w:sz w:val="21"/>
          <w:szCs w:val="21"/>
        </w:rPr>
        <w:t>, promuove la </w:t>
      </w:r>
      <w:hyperlink r:id="rId18" w:tooltip="Pac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pace</w:t>
        </w:r>
      </w:hyperlink>
      <w:r>
        <w:rPr>
          <w:rFonts w:ascii="Arial" w:hAnsi="Arial"/>
          <w:color w:val="222222"/>
          <w:sz w:val="21"/>
          <w:szCs w:val="21"/>
        </w:rPr>
        <w:t>, i valori e il benessere dei suoi popoli, lotta contro l'esclusione sociale e la </w:t>
      </w:r>
      <w:hyperlink r:id="rId19" w:tooltip="Discriminazion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discriminazione</w:t>
        </w:r>
      </w:hyperlink>
      <w:r>
        <w:rPr>
          <w:rFonts w:ascii="Arial" w:hAnsi="Arial"/>
          <w:color w:val="222222"/>
          <w:sz w:val="21"/>
          <w:szCs w:val="21"/>
        </w:rPr>
        <w:t>, favorisce il </w:t>
      </w:r>
      <w:hyperlink r:id="rId20" w:tooltip="Progresso scientifico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progresso scientifico</w:t>
        </w:r>
      </w:hyperlink>
      <w:r>
        <w:rPr>
          <w:rFonts w:ascii="Arial" w:hAnsi="Arial"/>
          <w:color w:val="222222"/>
          <w:sz w:val="21"/>
          <w:szCs w:val="21"/>
        </w:rPr>
        <w:t> e </w:t>
      </w:r>
      <w:hyperlink r:id="rId21" w:tooltip="Progresso tecnico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tecnologico</w:t>
        </w:r>
      </w:hyperlink>
      <w:r>
        <w:rPr>
          <w:rFonts w:ascii="Arial" w:hAnsi="Arial"/>
          <w:color w:val="222222"/>
          <w:sz w:val="21"/>
          <w:szCs w:val="21"/>
        </w:rPr>
        <w:t> e mira alla stabilità politica, alla </w:t>
      </w:r>
      <w:hyperlink r:id="rId22" w:tooltip="Crescita economic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crescita economica</w:t>
        </w:r>
      </w:hyperlink>
      <w:r>
        <w:rPr>
          <w:rFonts w:ascii="Arial" w:hAnsi="Arial"/>
          <w:color w:val="222222"/>
          <w:sz w:val="21"/>
          <w:szCs w:val="21"/>
        </w:rPr>
        <w:t> e alla coesione sociale e territoriale tra gli stati membri</w:t>
      </w:r>
      <w:hyperlink r:id="rId23" w:anchor="cite_note-13" w:history="1">
        <w:r>
          <w:rPr>
            <w:rStyle w:val="Collegamentoipertestuale"/>
            <w:rFonts w:ascii="Arial" w:hAnsi="Arial"/>
            <w:color w:val="0B0080"/>
            <w:sz w:val="21"/>
            <w:szCs w:val="21"/>
            <w:vertAlign w:val="superscript"/>
          </w:rPr>
          <w:t>]</w:t>
        </w:r>
      </w:hyperlink>
      <w:r>
        <w:rPr>
          <w:rFonts w:ascii="Arial" w:hAnsi="Arial"/>
          <w:color w:val="222222"/>
          <w:sz w:val="21"/>
          <w:szCs w:val="21"/>
        </w:rPr>
        <w:t>, cercando di attenuare le differenze socio-economiche tra i vari stati membri e incrementarne il </w:t>
      </w:r>
      <w:hyperlink r:id="rId24" w:tooltip="Benesser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benessere</w:t>
        </w:r>
      </w:hyperlink>
      <w:r>
        <w:rPr>
          <w:rFonts w:ascii="Arial" w:hAnsi="Arial"/>
          <w:color w:val="222222"/>
          <w:sz w:val="21"/>
          <w:szCs w:val="21"/>
        </w:rPr>
        <w:t xml:space="preserve"> socio-economico. </w:t>
      </w:r>
    </w:p>
    <w:p w:rsidR="00B13CC8" w:rsidRDefault="00B13CC8" w:rsidP="00B13CC8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/>
          <w:color w:val="222222"/>
          <w:sz w:val="21"/>
          <w:szCs w:val="21"/>
        </w:rPr>
      </w:pPr>
      <w:r>
        <w:rPr>
          <w:rFonts w:ascii="Arial" w:hAnsi="Arial"/>
          <w:color w:val="222222"/>
          <w:sz w:val="21"/>
          <w:szCs w:val="21"/>
        </w:rPr>
        <w:t>Le politiche di </w:t>
      </w:r>
      <w:hyperlink r:id="rId25" w:tooltip="Unione economica e monetaria dell'Unione europe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unione economica e monetaria dell'Unione europea</w:t>
        </w:r>
      </w:hyperlink>
      <w:r>
        <w:rPr>
          <w:rFonts w:ascii="Arial" w:hAnsi="Arial"/>
          <w:color w:val="222222"/>
          <w:sz w:val="21"/>
          <w:szCs w:val="21"/>
        </w:rPr>
        <w:t> hanno portato nel 2002 all'introduzione di una </w:t>
      </w:r>
      <w:hyperlink r:id="rId26" w:tooltip="Monet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moneta</w:t>
        </w:r>
      </w:hyperlink>
      <w:r>
        <w:rPr>
          <w:rFonts w:ascii="Arial" w:hAnsi="Arial"/>
          <w:color w:val="222222"/>
          <w:sz w:val="21"/>
          <w:szCs w:val="21"/>
        </w:rPr>
        <w:t> unica, l'</w:t>
      </w:r>
      <w:hyperlink r:id="rId27" w:tooltip="Euro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euro</w:t>
        </w:r>
      </w:hyperlink>
      <w:r>
        <w:rPr>
          <w:rFonts w:ascii="Arial" w:hAnsi="Arial"/>
          <w:color w:val="222222"/>
          <w:sz w:val="21"/>
          <w:szCs w:val="21"/>
        </w:rPr>
        <w:t>, attualmente adottato da 19 stati dell'Unione, che formano la cosiddetta </w:t>
      </w:r>
      <w:hyperlink r:id="rId28" w:tooltip="Eurozon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eurozona</w:t>
        </w:r>
      </w:hyperlink>
      <w:r>
        <w:rPr>
          <w:rFonts w:ascii="Arial" w:hAnsi="Arial"/>
          <w:color w:val="222222"/>
          <w:sz w:val="21"/>
          <w:szCs w:val="21"/>
        </w:rPr>
        <w:t>, con una </w:t>
      </w:r>
      <w:hyperlink r:id="rId29" w:tooltip="Politica monetari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politica monetaria</w:t>
        </w:r>
      </w:hyperlink>
      <w:r>
        <w:rPr>
          <w:rFonts w:ascii="Arial" w:hAnsi="Arial"/>
          <w:color w:val="222222"/>
          <w:sz w:val="21"/>
          <w:szCs w:val="21"/>
        </w:rPr>
        <w:t> comune regolata dalla </w:t>
      </w:r>
      <w:hyperlink r:id="rId30" w:tooltip="Banca centrale europe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Banca centrale europea</w:t>
        </w:r>
      </w:hyperlink>
      <w:r>
        <w:rPr>
          <w:rFonts w:ascii="Arial" w:hAnsi="Arial"/>
          <w:color w:val="222222"/>
          <w:sz w:val="21"/>
          <w:szCs w:val="21"/>
        </w:rPr>
        <w:t> (BCE).</w:t>
      </w:r>
    </w:p>
    <w:p w:rsidR="00B13CC8" w:rsidRDefault="00B13CC8" w:rsidP="00B13CC8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/>
          <w:color w:val="222222"/>
          <w:sz w:val="21"/>
          <w:szCs w:val="21"/>
        </w:rPr>
      </w:pPr>
      <w:r>
        <w:rPr>
          <w:rFonts w:ascii="Arial" w:hAnsi="Arial"/>
          <w:color w:val="222222"/>
          <w:sz w:val="21"/>
          <w:szCs w:val="21"/>
        </w:rPr>
        <w:t>Il 12 ottobre </w:t>
      </w:r>
      <w:hyperlink r:id="rId31" w:tooltip="2012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2012</w:t>
        </w:r>
      </w:hyperlink>
      <w:r>
        <w:rPr>
          <w:rFonts w:ascii="Arial" w:hAnsi="Arial"/>
          <w:color w:val="222222"/>
          <w:sz w:val="21"/>
          <w:szCs w:val="21"/>
        </w:rPr>
        <w:t> è stata insignita del </w:t>
      </w:r>
      <w:hyperlink r:id="rId32" w:tooltip="Premio Nobel per la pace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premio Nobel per la pace</w:t>
        </w:r>
      </w:hyperlink>
      <w:r>
        <w:rPr>
          <w:rFonts w:ascii="Arial" w:hAnsi="Arial"/>
          <w:color w:val="222222"/>
          <w:sz w:val="21"/>
          <w:szCs w:val="21"/>
        </w:rPr>
        <w:t>, con la seguente motivazione: «per oltre sei decenni ha contribuito all'avanzamento della pace e della riconciliazione, della democrazia e dei </w:t>
      </w:r>
      <w:hyperlink r:id="rId33" w:tooltip="Diritti umani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diritti umani</w:t>
        </w:r>
      </w:hyperlink>
      <w:r>
        <w:rPr>
          <w:rFonts w:ascii="Arial" w:hAnsi="Arial"/>
          <w:color w:val="222222"/>
          <w:sz w:val="21"/>
          <w:szCs w:val="21"/>
        </w:rPr>
        <w:t> in </w:t>
      </w:r>
      <w:hyperlink r:id="rId34" w:tooltip="Europa" w:history="1">
        <w:r>
          <w:rPr>
            <w:rStyle w:val="Collegamentoipertestuale"/>
            <w:rFonts w:ascii="Arial" w:hAnsi="Arial"/>
            <w:color w:val="0B0080"/>
            <w:sz w:val="21"/>
            <w:szCs w:val="21"/>
          </w:rPr>
          <w:t>Europa</w:t>
        </w:r>
      </w:hyperlink>
      <w:r>
        <w:rPr>
          <w:rFonts w:ascii="Arial" w:hAnsi="Arial"/>
          <w:color w:val="222222"/>
          <w:sz w:val="21"/>
          <w:szCs w:val="21"/>
        </w:rPr>
        <w:t>».</w:t>
      </w:r>
    </w:p>
    <w:p w:rsidR="0010659F" w:rsidRDefault="0010659F" w:rsidP="0010659F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10659F">
        <w:rPr>
          <w:rFonts w:ascii="Arial" w:hAnsi="Arial" w:cs="Arial"/>
          <w:b/>
          <w:color w:val="222222"/>
          <w:sz w:val="21"/>
          <w:szCs w:val="21"/>
        </w:rPr>
        <w:t xml:space="preserve">Accordi di </w:t>
      </w:r>
      <w:r>
        <w:rPr>
          <w:rFonts w:ascii="Arial" w:hAnsi="Arial" w:cs="Arial"/>
          <w:b/>
          <w:color w:val="222222"/>
          <w:sz w:val="21"/>
          <w:szCs w:val="21"/>
        </w:rPr>
        <w:t>S</w:t>
      </w:r>
      <w:r w:rsidRPr="0010659F">
        <w:rPr>
          <w:rFonts w:ascii="Arial" w:hAnsi="Arial" w:cs="Arial"/>
          <w:b/>
          <w:color w:val="222222"/>
          <w:sz w:val="21"/>
          <w:szCs w:val="21"/>
        </w:rPr>
        <w:t>chengen</w:t>
      </w:r>
      <w:r>
        <w:rPr>
          <w:rFonts w:ascii="Arial" w:hAnsi="Arial" w:cs="Arial"/>
          <w:color w:val="222222"/>
          <w:sz w:val="21"/>
          <w:szCs w:val="21"/>
        </w:rPr>
        <w:t>. Obiettivo degli accordi è favorire la libera circolazione dei cittadini e la lotta alla criminalità organizzata all'interno dello </w:t>
      </w:r>
      <w:hyperlink r:id="rId35" w:tooltip="Spazio Schengen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</w:rPr>
          <w:t>Spazio Schengen</w:t>
        </w:r>
      </w:hyperlink>
      <w:r>
        <w:rPr>
          <w:rFonts w:ascii="Arial" w:hAnsi="Arial" w:cs="Arial"/>
          <w:color w:val="222222"/>
          <w:sz w:val="21"/>
          <w:szCs w:val="21"/>
        </w:rPr>
        <w:t>, mediante l'abolizione dei controlli alle persone alle frontiere interne tra gli Stati partecipanti e la costituzione di un sistema comune di controllo alle frontiere esterne. Gli accordi prevedono inoltre una cooperazione giudiziaria e di polizia rafforzata per la lotta alla criminalità, la possibilità per le forze di polizia di intervenire in alcuni casi anche oltre i propri confini (per esempio durante gli inseguimenti di malavitosi) e l'integrazione delle banche dati delle forze di polizia in un database unico, il </w:t>
      </w:r>
      <w:hyperlink r:id="rId36" w:tooltip="Sistema di informazione Schengen" w:history="1">
        <w:r>
          <w:rPr>
            <w:rStyle w:val="Collegamentoipertestuale"/>
            <w:rFonts w:ascii="Arial" w:hAnsi="Arial" w:cs="Arial"/>
            <w:color w:val="0B0080"/>
            <w:sz w:val="21"/>
            <w:szCs w:val="21"/>
          </w:rPr>
          <w:t>Sistema di informazione Schengen</w:t>
        </w:r>
      </w:hyperlink>
      <w:r>
        <w:rPr>
          <w:rFonts w:ascii="Arial" w:hAnsi="Arial" w:cs="Arial"/>
          <w:color w:val="222222"/>
          <w:sz w:val="21"/>
          <w:szCs w:val="21"/>
        </w:rPr>
        <w:t> (SIS).</w:t>
      </w:r>
    </w:p>
    <w:p w:rsidR="0010659F" w:rsidRDefault="0010659F" w:rsidP="0010659F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Attualmente, lo spazio Schengen si compone di 26 paesi europei (di cui 22 Stati dell'UE):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Belgio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Repubblica ceca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10659F">
        <w:rPr>
          <w:rFonts w:ascii="Arial" w:hAnsi="Arial" w:cs="Arial"/>
          <w:b/>
          <w:color w:val="222222"/>
          <w:shd w:val="clear" w:color="auto" w:fill="FFFFFF"/>
        </w:rPr>
        <w:t>Danimarca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Germania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Estonia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10659F">
        <w:rPr>
          <w:rFonts w:ascii="Arial" w:hAnsi="Arial" w:cs="Arial"/>
          <w:b/>
          <w:color w:val="222222"/>
          <w:shd w:val="clear" w:color="auto" w:fill="FFFFFF"/>
        </w:rPr>
        <w:t>Grecia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10659F">
        <w:rPr>
          <w:rFonts w:ascii="Arial" w:hAnsi="Arial" w:cs="Arial"/>
          <w:b/>
          <w:color w:val="222222"/>
          <w:shd w:val="clear" w:color="auto" w:fill="FFFFFF"/>
        </w:rPr>
        <w:t>Spagna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Francia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Pr="0010659F">
        <w:rPr>
          <w:rFonts w:ascii="Arial" w:hAnsi="Arial" w:cs="Arial"/>
          <w:b/>
          <w:color w:val="222222"/>
          <w:shd w:val="clear" w:color="auto" w:fill="FFFFFF"/>
        </w:rPr>
        <w:t xml:space="preserve"> Italia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Lettonia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Lituania, Lussemburgo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Ungheria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Malta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Paesi 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Bassi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Austria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Polonia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Portogallo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Slovenia</w:t>
      </w:r>
      <w:r>
        <w:rPr>
          <w:rFonts w:ascii="Arial" w:hAnsi="Arial" w:cs="Arial"/>
          <w:color w:val="222222"/>
          <w:shd w:val="clear" w:color="auto" w:fill="FFFFFF"/>
        </w:rPr>
        <w:t>,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Slovacchia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Finlandia</w:t>
      </w:r>
      <w:r>
        <w:rPr>
          <w:rFonts w:ascii="Arial" w:hAnsi="Arial" w:cs="Arial"/>
          <w:color w:val="222222"/>
          <w:shd w:val="clear" w:color="auto" w:fill="FFFFFF"/>
        </w:rPr>
        <w:t> e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Svezia</w:t>
      </w:r>
      <w:r>
        <w:rPr>
          <w:rFonts w:ascii="Arial" w:hAnsi="Arial" w:cs="Arial"/>
          <w:color w:val="222222"/>
          <w:shd w:val="clear" w:color="auto" w:fill="FFFFFF"/>
        </w:rPr>
        <w:t>. </w:t>
      </w:r>
    </w:p>
    <w:p w:rsidR="00B13CC8" w:rsidRDefault="00B13CC8" w:rsidP="0010659F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t>Islanda, Liechtenstein, Norvegia e Svizzera, paesi non UE.</w:t>
      </w:r>
    </w:p>
    <w:p w:rsidR="0010659F" w:rsidRDefault="00B13CC8" w:rsidP="009535AA">
      <w:pPr>
        <w:pStyle w:val="NormaleWeb"/>
        <w:shd w:val="clear" w:color="auto" w:fill="FFFFFF"/>
        <w:spacing w:before="120" w:beforeAutospacing="0" w:after="120" w:afterAutospacing="0"/>
        <w:rPr>
          <w:b/>
        </w:rPr>
      </w:pPr>
      <w:r w:rsidRPr="00B13CC8">
        <w:rPr>
          <w:b/>
        </w:rPr>
        <w:t>Cosa comporta Schengen per i viaggiatori?</w:t>
      </w:r>
    </w:p>
    <w:p w:rsidR="00B13CC8" w:rsidRDefault="00B13CC8" w:rsidP="009535AA">
      <w:pPr>
        <w:pStyle w:val="NormaleWeb"/>
        <w:shd w:val="clear" w:color="auto" w:fill="FFFFFF"/>
        <w:spacing w:before="120" w:beforeAutospacing="0" w:after="120" w:afterAutospacing="0"/>
      </w:pPr>
      <w:r w:rsidRPr="00E4797D">
        <w:rPr>
          <w:b/>
        </w:rPr>
        <w:t>Francesca</w:t>
      </w:r>
      <w:r>
        <w:t xml:space="preserve"> è una studentessa italiana che sogna di visitare la Svezia con i suoi amici. Essendo cittadina dell’UE, Francesca ha il diritto di entrare in tutti gli Stati dell’UE su semplice presentazione di una carta d’identità o di un passaporto valido, ma non ha bisogno di mostrare i documenti quando viaggia all’interno dello spazio Schengen. Deve comunque portare con sé la carta d’identità o un passaporto valido, perché le autorità possono chiederle di dimostrare la sua identità.</w:t>
      </w:r>
    </w:p>
    <w:p w:rsidR="00E4797D" w:rsidRDefault="00E4797D" w:rsidP="009535AA">
      <w:pPr>
        <w:pStyle w:val="NormaleWeb"/>
        <w:shd w:val="clear" w:color="auto" w:fill="FFFFFF"/>
        <w:spacing w:before="120" w:beforeAutospacing="0" w:after="120" w:afterAutospacing="0"/>
      </w:pPr>
      <w:r w:rsidRPr="00E4797D">
        <w:rPr>
          <w:b/>
        </w:rPr>
        <w:t>Angel</w:t>
      </w:r>
      <w:r>
        <w:t xml:space="preserve"> è spagnolo. Ogni mese va a trovare la sua ragazza in Bulgaria. Anche se è uno Stato membro dell’Unione europea, la Bulgaria non fa ancora parte dello spazio Schengen, come altri cinque paesi dell’UE (Croazia, Cipro, Irlanda, Romania e Regno Unito). Ciò significa che, all’ingresso e all’uscita dal paese, Angel deve mostrare il passaporto o la carta d’identità e sottoporsi ai normali controlli minimi alle frontiere previsti per i cittadini dell’UE.</w:t>
      </w:r>
    </w:p>
    <w:p w:rsidR="00E4797D" w:rsidRPr="00B13CC8" w:rsidRDefault="00E4797D" w:rsidP="009535AA">
      <w:pPr>
        <w:pStyle w:val="NormaleWeb"/>
        <w:shd w:val="clear" w:color="auto" w:fill="FFFFFF"/>
        <w:spacing w:before="120" w:beforeAutospacing="0" w:after="120" w:afterAutospacing="0"/>
        <w:rPr>
          <w:rFonts w:ascii="Arial" w:hAnsi="Arial"/>
          <w:b/>
          <w:color w:val="222222"/>
          <w:sz w:val="21"/>
          <w:szCs w:val="21"/>
        </w:rPr>
      </w:pPr>
      <w:r w:rsidRPr="00E4797D">
        <w:rPr>
          <w:b/>
        </w:rPr>
        <w:t>Martine</w:t>
      </w:r>
      <w:r>
        <w:t>, una studentessa canadese, vorrebbe viaggiare per tre settimane in Grecia, Spagna e Italia. In quanto cittadina di un paese terzo, Martine può entrare e viaggiare fino a 90 giorni nel territorio dei paesi Schengen, purché soddisfi determinate condizioni di ingresso: in primo luogo, ha bisogno di un passaporto valido; deve inoltre essere in grado di dimostrare lo scopo del suo viaggio, di avere i mezzi per vivere in Europa per la durata prevista del suo soggiorno e di aver già acquistato il biglietto di ritorno (o di avere denaro sufficiente per farlo). Come cittadina canadese, Martine è esente dall’obbligo di visto per soggiorni di breve durata (Schengen).</w:t>
      </w:r>
    </w:p>
    <w:p w:rsidR="009535AA" w:rsidRPr="009535AA" w:rsidRDefault="009535AA"/>
    <w:sectPr w:rsidR="009535AA" w:rsidRPr="009535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AA"/>
    <w:rsid w:val="0010659F"/>
    <w:rsid w:val="00264336"/>
    <w:rsid w:val="009535AA"/>
    <w:rsid w:val="00B13CC8"/>
    <w:rsid w:val="00DC7126"/>
    <w:rsid w:val="00E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B786-F136-4237-8D4C-2E2D75C4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5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535AA"/>
    <w:rPr>
      <w:color w:val="0000FF"/>
      <w:u w:val="single"/>
    </w:rPr>
  </w:style>
  <w:style w:type="character" w:customStyle="1" w:styleId="ipa">
    <w:name w:val="ipa"/>
    <w:basedOn w:val="Carpredefinitoparagrafo"/>
    <w:rsid w:val="009535AA"/>
  </w:style>
  <w:style w:type="character" w:customStyle="1" w:styleId="nowrap">
    <w:name w:val="nowrap"/>
    <w:basedOn w:val="Carpredefinitoparagrafo"/>
    <w:rsid w:val="0010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Merce" TargetMode="External"/><Relationship Id="rId18" Type="http://schemas.openxmlformats.org/officeDocument/2006/relationships/hyperlink" Target="https://it.wikipedia.org/wiki/Pace" TargetMode="External"/><Relationship Id="rId26" Type="http://schemas.openxmlformats.org/officeDocument/2006/relationships/hyperlink" Target="https://it.wikipedia.org/wiki/Moneta" TargetMode="External"/><Relationship Id="rId21" Type="http://schemas.openxmlformats.org/officeDocument/2006/relationships/hyperlink" Target="https://it.wikipedia.org/wiki/Progresso_tecnico" TargetMode="External"/><Relationship Id="rId34" Type="http://schemas.openxmlformats.org/officeDocument/2006/relationships/hyperlink" Target="https://it.wikipedia.org/wiki/Europa" TargetMode="External"/><Relationship Id="rId7" Type="http://schemas.openxmlformats.org/officeDocument/2006/relationships/hyperlink" Target="https://it.wikipedia.org/wiki/Paesi_membri_dell%27Unione_europea" TargetMode="External"/><Relationship Id="rId12" Type="http://schemas.openxmlformats.org/officeDocument/2006/relationships/hyperlink" Target="https://it.wikipedia.org/wiki/2002" TargetMode="External"/><Relationship Id="rId17" Type="http://schemas.openxmlformats.org/officeDocument/2006/relationships/hyperlink" Target="https://it.wikipedia.org/wiki/Cittadinanza_dell%27Unione_europea" TargetMode="External"/><Relationship Id="rId25" Type="http://schemas.openxmlformats.org/officeDocument/2006/relationships/hyperlink" Target="https://it.wikipedia.org/wiki/Unione_economica_e_monetaria_dell%27Unione_europea" TargetMode="External"/><Relationship Id="rId33" Type="http://schemas.openxmlformats.org/officeDocument/2006/relationships/hyperlink" Target="https://it.wikipedia.org/wiki/Diritti_uman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Mercato_europeo_comune" TargetMode="External"/><Relationship Id="rId20" Type="http://schemas.openxmlformats.org/officeDocument/2006/relationships/hyperlink" Target="https://it.wikipedia.org/wiki/Progresso_scientifico" TargetMode="External"/><Relationship Id="rId29" Type="http://schemas.openxmlformats.org/officeDocument/2006/relationships/hyperlink" Target="https://it.wikipedia.org/wiki/Politica_monetaria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Economica" TargetMode="External"/><Relationship Id="rId11" Type="http://schemas.openxmlformats.org/officeDocument/2006/relationships/hyperlink" Target="https://it.wikipedia.org/wiki/1993" TargetMode="External"/><Relationship Id="rId24" Type="http://schemas.openxmlformats.org/officeDocument/2006/relationships/hyperlink" Target="https://it.wikipedia.org/wiki/Benessere" TargetMode="External"/><Relationship Id="rId32" Type="http://schemas.openxmlformats.org/officeDocument/2006/relationships/hyperlink" Target="https://it.wikipedia.org/wiki/Premio_Nobel_per_la_pac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t.wikipedia.org/wiki/Politica" TargetMode="External"/><Relationship Id="rId15" Type="http://schemas.openxmlformats.org/officeDocument/2006/relationships/hyperlink" Target="https://it.wikipedia.org/wiki/Capitale_(economia)" TargetMode="External"/><Relationship Id="rId23" Type="http://schemas.openxmlformats.org/officeDocument/2006/relationships/hyperlink" Target="https://it.wikipedia.org/wiki/Unione_europea" TargetMode="External"/><Relationship Id="rId28" Type="http://schemas.openxmlformats.org/officeDocument/2006/relationships/hyperlink" Target="https://it.wikipedia.org/wiki/Eurozona" TargetMode="External"/><Relationship Id="rId36" Type="http://schemas.openxmlformats.org/officeDocument/2006/relationships/hyperlink" Target="https://it.wikipedia.org/wiki/Sistema_di_informazione_Schengen" TargetMode="External"/><Relationship Id="rId10" Type="http://schemas.openxmlformats.org/officeDocument/2006/relationships/hyperlink" Target="https://it.wikipedia.org/wiki/1992" TargetMode="External"/><Relationship Id="rId19" Type="http://schemas.openxmlformats.org/officeDocument/2006/relationships/hyperlink" Target="https://it.wikipedia.org/wiki/Discriminazione" TargetMode="External"/><Relationship Id="rId31" Type="http://schemas.openxmlformats.org/officeDocument/2006/relationships/hyperlink" Target="https://it.wikipedia.org/wiki/2012" TargetMode="External"/><Relationship Id="rId4" Type="http://schemas.openxmlformats.org/officeDocument/2006/relationships/hyperlink" Target="https://it.wikipedia.org/wiki/Organizzazione_internazionale" TargetMode="External"/><Relationship Id="rId9" Type="http://schemas.openxmlformats.org/officeDocument/2006/relationships/hyperlink" Target="https://it.wikipedia.org/wiki/Trattato_di_Maastricht" TargetMode="External"/><Relationship Id="rId14" Type="http://schemas.openxmlformats.org/officeDocument/2006/relationships/hyperlink" Target="https://it.wikipedia.org/wiki/Settore_terziario" TargetMode="External"/><Relationship Id="rId22" Type="http://schemas.openxmlformats.org/officeDocument/2006/relationships/hyperlink" Target="https://it.wikipedia.org/wiki/Crescita_economica" TargetMode="External"/><Relationship Id="rId27" Type="http://schemas.openxmlformats.org/officeDocument/2006/relationships/hyperlink" Target="https://it.wikipedia.org/wiki/Euro" TargetMode="External"/><Relationship Id="rId30" Type="http://schemas.openxmlformats.org/officeDocument/2006/relationships/hyperlink" Target="https://it.wikipedia.org/wiki/Banca_centrale_europea" TargetMode="External"/><Relationship Id="rId35" Type="http://schemas.openxmlformats.org/officeDocument/2006/relationships/hyperlink" Target="https://it.wikipedia.org/wiki/Spazio_Schengen" TargetMode="External"/><Relationship Id="rId8" Type="http://schemas.openxmlformats.org/officeDocument/2006/relationships/hyperlink" Target="https://it.wikipedia.org/wiki/Trattato_che_istituisce_la_Comunit%C3%A0_economica_europe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2020-03-11T11:34:00Z</dcterms:created>
  <dcterms:modified xsi:type="dcterms:W3CDTF">2020-03-11T11:34:00Z</dcterms:modified>
</cp:coreProperties>
</file>