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FC8" w:rsidRPr="00E24FC8" w:rsidRDefault="00E24FC8" w:rsidP="00E24FC8">
      <w:pPr>
        <w:shd w:val="clear" w:color="auto" w:fill="FFFFFF"/>
        <w:spacing w:after="0" w:line="240" w:lineRule="auto"/>
        <w:jc w:val="center"/>
        <w:rPr>
          <w:rFonts w:ascii="Tahoma" w:eastAsia="Times New Roman" w:hAnsi="Tahoma" w:cs="Tahoma"/>
          <w:color w:val="282828"/>
          <w:sz w:val="18"/>
          <w:szCs w:val="18"/>
          <w:lang w:eastAsia="fr-FR"/>
        </w:rPr>
      </w:pPr>
      <w:r w:rsidRPr="00E24FC8">
        <w:rPr>
          <w:rFonts w:ascii="Tahoma" w:eastAsia="Times New Roman" w:hAnsi="Tahoma" w:cs="Tahoma"/>
          <w:noProof/>
          <w:color w:val="282828"/>
          <w:sz w:val="18"/>
          <w:szCs w:val="18"/>
          <w:lang w:eastAsia="fr-FR"/>
        </w:rPr>
        <w:drawing>
          <wp:inline distT="0" distB="0" distL="0" distR="0">
            <wp:extent cx="2270734" cy="3400425"/>
            <wp:effectExtent l="0" t="0" r="0" b="0"/>
            <wp:docPr id="1" name="Image 1" descr="La loi du 11 février 2005 pour l'égalité des droits et des chances, la participation et la citoyenneté des personnes handicapées : 15 ans de progrès réels et d'espoirs déç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loi du 11 février 2005 pour l'égalité des droits et des chances, la participation et la citoyenneté des personnes handicapées : 15 ans de progrès réels et d'espoirs déç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7115" cy="3409980"/>
                    </a:xfrm>
                    <a:prstGeom prst="rect">
                      <a:avLst/>
                    </a:prstGeom>
                    <a:noFill/>
                    <a:ln>
                      <a:noFill/>
                    </a:ln>
                  </pic:spPr>
                </pic:pic>
              </a:graphicData>
            </a:graphic>
          </wp:inline>
        </w:drawing>
      </w:r>
    </w:p>
    <w:p w:rsidR="00E24FC8" w:rsidRPr="00E24FC8" w:rsidRDefault="00E24FC8" w:rsidP="00E24FC8">
      <w:pPr>
        <w:shd w:val="clear" w:color="auto" w:fill="FFFFFF"/>
        <w:spacing w:after="0" w:line="240" w:lineRule="auto"/>
        <w:jc w:val="center"/>
        <w:rPr>
          <w:rFonts w:ascii="Tahoma" w:eastAsia="Times New Roman" w:hAnsi="Tahoma" w:cs="Tahoma"/>
          <w:color w:val="FFFFFF"/>
          <w:sz w:val="18"/>
          <w:szCs w:val="18"/>
          <w:lang w:eastAsia="fr-FR"/>
        </w:rPr>
      </w:pPr>
      <w:r w:rsidRPr="00E24FC8">
        <w:rPr>
          <w:rFonts w:ascii="Tahoma" w:eastAsia="Times New Roman" w:hAnsi="Tahoma" w:cs="Tahoma"/>
          <w:color w:val="282828"/>
          <w:sz w:val="18"/>
          <w:szCs w:val="18"/>
          <w:lang w:eastAsia="fr-FR"/>
        </w:rPr>
        <w:br/>
      </w:r>
    </w:p>
    <w:p w:rsidR="00E24FC8" w:rsidRPr="00E24FC8" w:rsidRDefault="00E24FC8" w:rsidP="00E24FC8">
      <w:pPr>
        <w:shd w:val="clear" w:color="auto" w:fill="FFFFFF"/>
        <w:spacing w:before="100" w:beforeAutospacing="1" w:after="100" w:afterAutospacing="1" w:line="240" w:lineRule="auto"/>
        <w:outlineLvl w:val="0"/>
        <w:rPr>
          <w:rFonts w:ascii="Arial" w:eastAsia="Times New Roman" w:hAnsi="Arial" w:cs="Arial"/>
          <w:color w:val="001689"/>
          <w:kern w:val="36"/>
          <w:sz w:val="32"/>
          <w:szCs w:val="32"/>
          <w:lang w:eastAsia="fr-FR"/>
        </w:rPr>
      </w:pPr>
      <w:r w:rsidRPr="00E24FC8">
        <w:rPr>
          <w:rFonts w:ascii="Arial" w:eastAsia="Times New Roman" w:hAnsi="Arial" w:cs="Arial"/>
          <w:color w:val="001689"/>
          <w:kern w:val="36"/>
          <w:sz w:val="32"/>
          <w:szCs w:val="32"/>
          <w:lang w:eastAsia="fr-FR"/>
        </w:rPr>
        <w:t>La loi du 11 février 2005 pour l'égalité des droits et des chances, la participation et la citoyenneté des personnes handicapées : 15 ans de progrès réels et d'espoirs déçus</w:t>
      </w:r>
    </w:p>
    <w:p w:rsidR="00E24FC8" w:rsidRPr="00E24FC8" w:rsidRDefault="00E24FC8" w:rsidP="00E24FC8">
      <w:pPr>
        <w:shd w:val="clear" w:color="auto" w:fill="FFFFFF"/>
        <w:spacing w:after="0" w:line="240" w:lineRule="auto"/>
        <w:rPr>
          <w:rFonts w:ascii="Tahoma" w:eastAsia="Times New Roman" w:hAnsi="Tahoma" w:cs="Tahoma"/>
          <w:i/>
          <w:iCs/>
          <w:color w:val="282828"/>
          <w:sz w:val="18"/>
          <w:szCs w:val="18"/>
          <w:lang w:eastAsia="fr-FR"/>
        </w:rPr>
      </w:pPr>
      <w:r w:rsidRPr="00E24FC8">
        <w:rPr>
          <w:rFonts w:ascii="Tahoma" w:eastAsia="Times New Roman" w:hAnsi="Tahoma" w:cs="Tahoma"/>
          <w:i/>
          <w:iCs/>
          <w:color w:val="282828"/>
          <w:sz w:val="18"/>
          <w:szCs w:val="18"/>
          <w:lang w:eastAsia="fr-FR"/>
        </w:rPr>
        <w:t>Paru le : 13/07/2021</w:t>
      </w:r>
    </w:p>
    <w:p w:rsidR="00E24FC8" w:rsidRPr="00E24FC8" w:rsidRDefault="00E24FC8" w:rsidP="00E24FC8">
      <w:pPr>
        <w:shd w:val="clear" w:color="auto" w:fill="FFFFFF"/>
        <w:spacing w:after="0" w:line="240" w:lineRule="auto"/>
        <w:rPr>
          <w:rFonts w:ascii="Tahoma" w:eastAsia="Times New Roman" w:hAnsi="Tahoma" w:cs="Tahoma"/>
          <w:color w:val="282828"/>
          <w:sz w:val="18"/>
          <w:szCs w:val="18"/>
          <w:lang w:eastAsia="fr-FR"/>
        </w:rPr>
      </w:pPr>
      <w:r w:rsidRPr="00E24FC8">
        <w:rPr>
          <w:rFonts w:ascii="Tahoma" w:eastAsia="Times New Roman" w:hAnsi="Tahoma" w:cs="Tahoma"/>
          <w:color w:val="282828"/>
          <w:sz w:val="18"/>
          <w:szCs w:val="18"/>
          <w:lang w:eastAsia="fr-FR"/>
        </w:rPr>
        <w:t>Éditeur(s) : </w:t>
      </w:r>
      <w:hyperlink r:id="rId6" w:history="1">
        <w:r w:rsidRPr="00E24FC8">
          <w:rPr>
            <w:rFonts w:ascii="Tahoma" w:eastAsia="Times New Roman" w:hAnsi="Tahoma" w:cs="Tahoma"/>
            <w:color w:val="282828"/>
            <w:sz w:val="18"/>
            <w:szCs w:val="18"/>
            <w:lang w:eastAsia="fr-FR"/>
          </w:rPr>
          <w:t>Institut francophone pour la justice et la démocratie</w:t>
        </w:r>
      </w:hyperlink>
    </w:p>
    <w:p w:rsidR="00E24FC8" w:rsidRPr="00E24FC8" w:rsidRDefault="00E24FC8" w:rsidP="00E24FC8">
      <w:pPr>
        <w:shd w:val="clear" w:color="auto" w:fill="FFFFFF"/>
        <w:spacing w:after="0" w:line="240" w:lineRule="auto"/>
        <w:rPr>
          <w:rFonts w:ascii="Tahoma" w:eastAsia="Times New Roman" w:hAnsi="Tahoma" w:cs="Tahoma"/>
          <w:color w:val="282828"/>
          <w:sz w:val="18"/>
          <w:szCs w:val="18"/>
          <w:lang w:eastAsia="fr-FR"/>
        </w:rPr>
      </w:pPr>
      <w:r w:rsidRPr="00E24FC8">
        <w:rPr>
          <w:rFonts w:ascii="Tahoma" w:eastAsia="Times New Roman" w:hAnsi="Tahoma" w:cs="Tahoma"/>
          <w:color w:val="282828"/>
          <w:sz w:val="18"/>
          <w:szCs w:val="18"/>
          <w:lang w:eastAsia="fr-FR"/>
        </w:rPr>
        <w:t>Série(s) : Non précisé.</w:t>
      </w:r>
    </w:p>
    <w:p w:rsidR="00E24FC8" w:rsidRPr="00E24FC8" w:rsidRDefault="00E24FC8" w:rsidP="00E24FC8">
      <w:pPr>
        <w:shd w:val="clear" w:color="auto" w:fill="FFFFFF"/>
        <w:spacing w:after="0" w:line="240" w:lineRule="auto"/>
        <w:rPr>
          <w:rFonts w:ascii="Tahoma" w:eastAsia="Times New Roman" w:hAnsi="Tahoma" w:cs="Tahoma"/>
          <w:color w:val="282828"/>
          <w:sz w:val="18"/>
          <w:szCs w:val="18"/>
          <w:lang w:eastAsia="fr-FR"/>
        </w:rPr>
      </w:pPr>
      <w:r w:rsidRPr="00E24FC8">
        <w:rPr>
          <w:rFonts w:ascii="Tahoma" w:eastAsia="Times New Roman" w:hAnsi="Tahoma" w:cs="Tahoma"/>
          <w:color w:val="282828"/>
          <w:sz w:val="18"/>
          <w:szCs w:val="18"/>
          <w:lang w:eastAsia="fr-FR"/>
        </w:rPr>
        <w:t>Collection(s) : </w:t>
      </w:r>
      <w:hyperlink r:id="rId7" w:history="1">
        <w:r w:rsidRPr="00E24FC8">
          <w:rPr>
            <w:rFonts w:ascii="Tahoma" w:eastAsia="Times New Roman" w:hAnsi="Tahoma" w:cs="Tahoma"/>
            <w:color w:val="282828"/>
            <w:sz w:val="18"/>
            <w:szCs w:val="18"/>
            <w:lang w:eastAsia="fr-FR"/>
          </w:rPr>
          <w:t>Colloques &amp; essais</w:t>
        </w:r>
      </w:hyperlink>
    </w:p>
    <w:p w:rsidR="00E24FC8" w:rsidRPr="00E24FC8" w:rsidRDefault="00E24FC8" w:rsidP="00E24FC8">
      <w:pPr>
        <w:shd w:val="clear" w:color="auto" w:fill="FFFFFF"/>
        <w:spacing w:after="0" w:line="240" w:lineRule="auto"/>
        <w:rPr>
          <w:rFonts w:ascii="Tahoma" w:eastAsia="Times New Roman" w:hAnsi="Tahoma" w:cs="Tahoma"/>
          <w:color w:val="282828"/>
          <w:sz w:val="18"/>
          <w:szCs w:val="18"/>
          <w:lang w:eastAsia="fr-FR"/>
        </w:rPr>
      </w:pPr>
      <w:r w:rsidRPr="00E24FC8">
        <w:rPr>
          <w:rFonts w:ascii="Tahoma" w:eastAsia="Times New Roman" w:hAnsi="Tahoma" w:cs="Tahoma"/>
          <w:color w:val="282828"/>
          <w:sz w:val="18"/>
          <w:szCs w:val="18"/>
          <w:lang w:eastAsia="fr-FR"/>
        </w:rPr>
        <w:t>Contributeur(s) : Directeur de publication : Franck Durand</w:t>
      </w:r>
    </w:p>
    <w:p w:rsidR="00E24FC8" w:rsidRPr="00E24FC8" w:rsidRDefault="00E24FC8" w:rsidP="00E24FC8">
      <w:pPr>
        <w:shd w:val="clear" w:color="auto" w:fill="FFFFFF"/>
        <w:spacing w:before="100" w:beforeAutospacing="1" w:after="100" w:afterAutospacing="1" w:line="240" w:lineRule="auto"/>
        <w:outlineLvl w:val="0"/>
        <w:rPr>
          <w:rFonts w:ascii="Arial" w:eastAsia="Times New Roman" w:hAnsi="Arial" w:cs="Arial"/>
          <w:color w:val="001689"/>
          <w:kern w:val="36"/>
          <w:sz w:val="28"/>
          <w:szCs w:val="28"/>
          <w:lang w:eastAsia="fr-FR"/>
        </w:rPr>
      </w:pPr>
      <w:r w:rsidRPr="00E24FC8">
        <w:rPr>
          <w:rFonts w:ascii="Arial" w:eastAsia="Times New Roman" w:hAnsi="Arial" w:cs="Arial"/>
          <w:color w:val="001689"/>
          <w:kern w:val="36"/>
          <w:sz w:val="28"/>
          <w:szCs w:val="28"/>
          <w:lang w:eastAsia="fr-FR"/>
        </w:rPr>
        <w:t>Résumé</w:t>
      </w:r>
    </w:p>
    <w:p w:rsidR="00E24FC8" w:rsidRPr="00E24FC8" w:rsidRDefault="00E24FC8" w:rsidP="00E24FC8">
      <w:pPr>
        <w:shd w:val="clear" w:color="auto" w:fill="FFFFFF"/>
        <w:spacing w:before="100" w:beforeAutospacing="1" w:after="100" w:afterAutospacing="1" w:line="240" w:lineRule="auto"/>
        <w:jc w:val="both"/>
        <w:rPr>
          <w:rFonts w:ascii="Tahoma" w:eastAsia="Times New Roman" w:hAnsi="Tahoma" w:cs="Tahoma"/>
          <w:color w:val="282828"/>
          <w:sz w:val="18"/>
          <w:szCs w:val="18"/>
          <w:lang w:eastAsia="fr-FR"/>
        </w:rPr>
      </w:pPr>
      <w:r w:rsidRPr="00E24FC8">
        <w:rPr>
          <w:rFonts w:ascii="Tahoma" w:eastAsia="Times New Roman" w:hAnsi="Tahoma" w:cs="Tahoma"/>
          <w:color w:val="282828"/>
          <w:sz w:val="18"/>
          <w:szCs w:val="18"/>
          <w:lang w:eastAsia="fr-FR"/>
        </w:rPr>
        <w:t>L'apport de la loi du 11 février 2005 est analysé en revenant sur le contexte juridique dans lequel elle s'est inscrite, tant sur le plan intérieur qu'international et européen. Sont ensuite étudiés les changements institutionnels et l'affirmation de nouvelles notions, que ce soit en matière d'aménagements urbains, de service public ou encore dans le monde du travail. ©Electre 2025</w:t>
      </w:r>
    </w:p>
    <w:p w:rsidR="00E24FC8" w:rsidRPr="00E24FC8" w:rsidRDefault="00E24FC8" w:rsidP="00E24FC8">
      <w:pPr>
        <w:shd w:val="clear" w:color="auto" w:fill="FFFFFF"/>
        <w:spacing w:before="100" w:beforeAutospacing="1" w:after="100" w:afterAutospacing="1" w:line="240" w:lineRule="auto"/>
        <w:outlineLvl w:val="0"/>
        <w:rPr>
          <w:rFonts w:ascii="Arial" w:eastAsia="Times New Roman" w:hAnsi="Arial" w:cs="Arial"/>
          <w:color w:val="001689"/>
          <w:kern w:val="36"/>
          <w:sz w:val="28"/>
          <w:szCs w:val="28"/>
          <w:lang w:eastAsia="fr-FR"/>
        </w:rPr>
      </w:pPr>
      <w:r w:rsidRPr="00E24FC8">
        <w:rPr>
          <w:rFonts w:ascii="Arial" w:eastAsia="Times New Roman" w:hAnsi="Arial" w:cs="Arial"/>
          <w:color w:val="001689"/>
          <w:kern w:val="36"/>
          <w:sz w:val="28"/>
          <w:szCs w:val="28"/>
          <w:lang w:eastAsia="fr-FR"/>
        </w:rPr>
        <w:t>Lire la Quatrième de couverture </w:t>
      </w:r>
    </w:p>
    <w:p w:rsidR="00E24FC8" w:rsidRPr="00E24FC8" w:rsidRDefault="00E24FC8" w:rsidP="00E24FC8">
      <w:pPr>
        <w:shd w:val="clear" w:color="auto" w:fill="FFFFFF"/>
        <w:spacing w:before="100" w:beforeAutospacing="1" w:after="100" w:afterAutospacing="1" w:line="240" w:lineRule="auto"/>
        <w:rPr>
          <w:rFonts w:ascii="Tahoma" w:eastAsia="Times New Roman" w:hAnsi="Tahoma" w:cs="Tahoma"/>
          <w:color w:val="282828"/>
          <w:sz w:val="18"/>
          <w:szCs w:val="18"/>
          <w:lang w:eastAsia="fr-FR"/>
        </w:rPr>
      </w:pPr>
      <w:r w:rsidRPr="00E24FC8">
        <w:rPr>
          <w:rFonts w:ascii="Tahoma" w:eastAsia="Times New Roman" w:hAnsi="Tahoma" w:cs="Tahoma"/>
          <w:b/>
          <w:bCs/>
          <w:color w:val="282828"/>
          <w:sz w:val="18"/>
          <w:szCs w:val="18"/>
          <w:lang w:eastAsia="fr-FR"/>
        </w:rPr>
        <w:t>La loi du 11 février 2005 pour l'égalité des droits et des chances, la participation et la citoyenneté des personnes handicapées</w:t>
      </w:r>
    </w:p>
    <w:p w:rsidR="00E24FC8" w:rsidRPr="00E24FC8" w:rsidRDefault="00E24FC8" w:rsidP="00E24FC8">
      <w:pPr>
        <w:shd w:val="clear" w:color="auto" w:fill="FFFFFF"/>
        <w:spacing w:before="100" w:beforeAutospacing="1" w:after="100" w:afterAutospacing="1" w:line="240" w:lineRule="auto"/>
        <w:rPr>
          <w:rFonts w:ascii="Tahoma" w:eastAsia="Times New Roman" w:hAnsi="Tahoma" w:cs="Tahoma"/>
          <w:color w:val="282828"/>
          <w:sz w:val="18"/>
          <w:szCs w:val="18"/>
          <w:lang w:eastAsia="fr-FR"/>
        </w:rPr>
      </w:pPr>
      <w:r w:rsidRPr="00E24FC8">
        <w:rPr>
          <w:rFonts w:ascii="Tahoma" w:eastAsia="Times New Roman" w:hAnsi="Tahoma" w:cs="Tahoma"/>
          <w:b/>
          <w:bCs/>
          <w:i/>
          <w:iCs/>
          <w:color w:val="282828"/>
          <w:sz w:val="18"/>
          <w:szCs w:val="18"/>
          <w:lang w:eastAsia="fr-FR"/>
        </w:rPr>
        <w:t>15 ans de progrès réels et d'espoirs déçus</w:t>
      </w:r>
    </w:p>
    <w:p w:rsidR="00E24FC8" w:rsidRPr="00E24FC8" w:rsidRDefault="00E24FC8" w:rsidP="00E24FC8">
      <w:pPr>
        <w:shd w:val="clear" w:color="auto" w:fill="FFFFFF"/>
        <w:spacing w:before="100" w:beforeAutospacing="1" w:after="100" w:afterAutospacing="1" w:line="240" w:lineRule="auto"/>
        <w:jc w:val="both"/>
        <w:rPr>
          <w:rFonts w:ascii="Tahoma" w:eastAsia="Times New Roman" w:hAnsi="Tahoma" w:cs="Tahoma"/>
          <w:color w:val="282828"/>
          <w:sz w:val="18"/>
          <w:szCs w:val="18"/>
          <w:lang w:eastAsia="fr-FR"/>
        </w:rPr>
      </w:pPr>
      <w:r w:rsidRPr="00E24FC8">
        <w:rPr>
          <w:rFonts w:ascii="Tahoma" w:eastAsia="Times New Roman" w:hAnsi="Tahoma" w:cs="Tahoma"/>
          <w:color w:val="282828"/>
          <w:sz w:val="18"/>
          <w:szCs w:val="18"/>
          <w:lang w:eastAsia="fr-FR"/>
        </w:rPr>
        <w:t xml:space="preserve">Afin de mieux mesurer l'apport de la loi du 11 février 2005 pour l'égalité des droits et des chances, la participation et la citoyenneté des personnes handicapées, il a semblé pertinent de rappeler tout d'abord dans quel contexte juridique est venu s'inscrire ce texte, tant sur le plan international et européen (F. Durand), que sur le plan intérieur (F. Durand), avant de mesurer son impact réel sur la participation et la citoyenneté des personnes handicapées (H. </w:t>
      </w:r>
      <w:proofErr w:type="spellStart"/>
      <w:r w:rsidRPr="00E24FC8">
        <w:rPr>
          <w:rFonts w:ascii="Tahoma" w:eastAsia="Times New Roman" w:hAnsi="Tahoma" w:cs="Tahoma"/>
          <w:color w:val="282828"/>
          <w:sz w:val="18"/>
          <w:szCs w:val="18"/>
          <w:lang w:eastAsia="fr-FR"/>
        </w:rPr>
        <w:t>Rihal</w:t>
      </w:r>
      <w:proofErr w:type="spellEnd"/>
      <w:r w:rsidRPr="00E24FC8">
        <w:rPr>
          <w:rFonts w:ascii="Tahoma" w:eastAsia="Times New Roman" w:hAnsi="Tahoma" w:cs="Tahoma"/>
          <w:color w:val="282828"/>
          <w:sz w:val="18"/>
          <w:szCs w:val="18"/>
          <w:lang w:eastAsia="fr-FR"/>
        </w:rPr>
        <w:t xml:space="preserve">). Sont ensuite étudiés les changements institutionnels apportés par la création des Maisons départementales des personnes handicapées (Y </w:t>
      </w:r>
      <w:proofErr w:type="spellStart"/>
      <w:r w:rsidRPr="00E24FC8">
        <w:rPr>
          <w:rFonts w:ascii="Tahoma" w:eastAsia="Times New Roman" w:hAnsi="Tahoma" w:cs="Tahoma"/>
          <w:color w:val="282828"/>
          <w:sz w:val="18"/>
          <w:szCs w:val="18"/>
          <w:lang w:eastAsia="fr-FR"/>
        </w:rPr>
        <w:t>Brisot</w:t>
      </w:r>
      <w:proofErr w:type="spellEnd"/>
      <w:r w:rsidRPr="00E24FC8">
        <w:rPr>
          <w:rFonts w:ascii="Tahoma" w:eastAsia="Times New Roman" w:hAnsi="Tahoma" w:cs="Tahoma"/>
          <w:color w:val="282828"/>
          <w:sz w:val="18"/>
          <w:szCs w:val="18"/>
          <w:lang w:eastAsia="fr-FR"/>
        </w:rPr>
        <w:t xml:space="preserve">) et l'affirmation de nouvelles notions qui demeurent trop souvent en quête d'effectivité, comme le démontre l'exemple du droit à la mobilité (K.-K. Pham). La loi du 11 février 2005 a suscité de nombreux changements trop longtemps attendus, que ce soit en matière d'aménagements urbains (J. </w:t>
      </w:r>
      <w:proofErr w:type="spellStart"/>
      <w:r w:rsidRPr="00E24FC8">
        <w:rPr>
          <w:rFonts w:ascii="Tahoma" w:eastAsia="Times New Roman" w:hAnsi="Tahoma" w:cs="Tahoma"/>
          <w:color w:val="282828"/>
          <w:sz w:val="18"/>
          <w:szCs w:val="18"/>
          <w:lang w:eastAsia="fr-FR"/>
        </w:rPr>
        <w:t>Wolikow</w:t>
      </w:r>
      <w:proofErr w:type="spellEnd"/>
      <w:r w:rsidRPr="00E24FC8">
        <w:rPr>
          <w:rFonts w:ascii="Tahoma" w:eastAsia="Times New Roman" w:hAnsi="Tahoma" w:cs="Tahoma"/>
          <w:color w:val="282828"/>
          <w:sz w:val="18"/>
          <w:szCs w:val="18"/>
          <w:lang w:eastAsia="fr-FR"/>
        </w:rPr>
        <w:t xml:space="preserve">), de service public tel que l'Université (O. </w:t>
      </w:r>
      <w:proofErr w:type="spellStart"/>
      <w:r w:rsidRPr="00E24FC8">
        <w:rPr>
          <w:rFonts w:ascii="Tahoma" w:eastAsia="Times New Roman" w:hAnsi="Tahoma" w:cs="Tahoma"/>
          <w:color w:val="282828"/>
          <w:sz w:val="18"/>
          <w:szCs w:val="18"/>
          <w:lang w:eastAsia="fr-FR"/>
        </w:rPr>
        <w:t>Debarge</w:t>
      </w:r>
      <w:proofErr w:type="spellEnd"/>
      <w:r w:rsidRPr="00E24FC8">
        <w:rPr>
          <w:rFonts w:ascii="Tahoma" w:eastAsia="Times New Roman" w:hAnsi="Tahoma" w:cs="Tahoma"/>
          <w:color w:val="282828"/>
          <w:sz w:val="18"/>
          <w:szCs w:val="18"/>
          <w:lang w:eastAsia="fr-FR"/>
        </w:rPr>
        <w:t xml:space="preserve">), de fonction publique (M. </w:t>
      </w:r>
      <w:proofErr w:type="spellStart"/>
      <w:r w:rsidRPr="00E24FC8">
        <w:rPr>
          <w:rFonts w:ascii="Tahoma" w:eastAsia="Times New Roman" w:hAnsi="Tahoma" w:cs="Tahoma"/>
          <w:color w:val="282828"/>
          <w:sz w:val="18"/>
          <w:szCs w:val="18"/>
          <w:lang w:eastAsia="fr-FR"/>
        </w:rPr>
        <w:t>Fèvre</w:t>
      </w:r>
      <w:proofErr w:type="spellEnd"/>
      <w:r w:rsidRPr="00E24FC8">
        <w:rPr>
          <w:rFonts w:ascii="Tahoma" w:eastAsia="Times New Roman" w:hAnsi="Tahoma" w:cs="Tahoma"/>
          <w:color w:val="282828"/>
          <w:sz w:val="18"/>
          <w:szCs w:val="18"/>
          <w:lang w:eastAsia="fr-FR"/>
        </w:rPr>
        <w:t>) ou bien encore dans le monde du travail (A. Henry). Enfin, même si le handicap ne se réduit plus à son aspect médical, cette dimension ne saurait être oubliée, qu'il s'agisse de l'évaluation médicale du handicap par le médecin traitant (M. Aubrun) ou de l'expertise psychiatrique en matière de handicap devant le juge (F Durand).</w:t>
      </w:r>
    </w:p>
    <w:p w:rsidR="00075A69" w:rsidRPr="00437BD5" w:rsidRDefault="00E24FC8" w:rsidP="00437BD5">
      <w:pPr>
        <w:shd w:val="clear" w:color="auto" w:fill="FFFFFF"/>
        <w:spacing w:before="100" w:beforeAutospacing="1" w:after="100" w:afterAutospacing="1" w:line="240" w:lineRule="auto"/>
        <w:rPr>
          <w:rFonts w:ascii="Tahoma" w:eastAsia="Times New Roman" w:hAnsi="Tahoma" w:cs="Tahoma"/>
          <w:color w:val="282828"/>
          <w:sz w:val="18"/>
          <w:szCs w:val="18"/>
          <w:lang w:eastAsia="fr-FR"/>
        </w:rPr>
      </w:pPr>
      <w:r w:rsidRPr="00E24FC8">
        <w:rPr>
          <w:rFonts w:ascii="Tahoma" w:eastAsia="Times New Roman" w:hAnsi="Tahoma" w:cs="Tahoma"/>
          <w:i/>
          <w:iCs/>
          <w:color w:val="282828"/>
          <w:sz w:val="18"/>
          <w:szCs w:val="18"/>
          <w:lang w:eastAsia="fr-FR"/>
        </w:rPr>
        <w:t>Actes du Colloque du 11 février 2020 organisé à l'Université de Reims Champagne-Ardenne par te CRDT et honoré d'une subvention de la Région Grand Est</w:t>
      </w:r>
      <w:bookmarkStart w:id="0" w:name="_GoBack"/>
      <w:bookmarkEnd w:id="0"/>
    </w:p>
    <w:sectPr w:rsidR="00075A69" w:rsidRPr="00437BD5" w:rsidSect="00E24F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E05D8"/>
    <w:multiLevelType w:val="multilevel"/>
    <w:tmpl w:val="AA62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C8"/>
    <w:rsid w:val="00075A69"/>
    <w:rsid w:val="00437BD5"/>
    <w:rsid w:val="00E24F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8C5D"/>
  <w15:chartTrackingRefBased/>
  <w15:docId w15:val="{32F59F07-E7CD-483D-B99C-4E88B46C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24F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4FC8"/>
    <w:rPr>
      <w:rFonts w:ascii="Times New Roman" w:eastAsia="Times New Roman" w:hAnsi="Times New Roman" w:cs="Times New Roman"/>
      <w:b/>
      <w:bCs/>
      <w:kern w:val="36"/>
      <w:sz w:val="48"/>
      <w:szCs w:val="48"/>
      <w:lang w:eastAsia="fr-FR"/>
    </w:rPr>
  </w:style>
  <w:style w:type="character" w:customStyle="1" w:styleId="small">
    <w:name w:val="small"/>
    <w:basedOn w:val="Policepardfaut"/>
    <w:rsid w:val="00E24FC8"/>
  </w:style>
  <w:style w:type="character" w:styleId="Lienhypertexte">
    <w:name w:val="Hyperlink"/>
    <w:basedOn w:val="Policepardfaut"/>
    <w:uiPriority w:val="99"/>
    <w:semiHidden/>
    <w:unhideWhenUsed/>
    <w:rsid w:val="00E24FC8"/>
    <w:rPr>
      <w:color w:val="0000FF"/>
      <w:u w:val="single"/>
    </w:rPr>
  </w:style>
  <w:style w:type="paragraph" w:styleId="NormalWeb">
    <w:name w:val="Normal (Web)"/>
    <w:basedOn w:val="Normal"/>
    <w:uiPriority w:val="99"/>
    <w:semiHidden/>
    <w:unhideWhenUsed/>
    <w:rsid w:val="00E24F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24FC8"/>
    <w:rPr>
      <w:b/>
      <w:bCs/>
    </w:rPr>
  </w:style>
  <w:style w:type="character" w:customStyle="1" w:styleId="badge-info">
    <w:name w:val="badge-info"/>
    <w:basedOn w:val="Policepardfaut"/>
    <w:rsid w:val="00E2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493650">
      <w:bodyDiv w:val="1"/>
      <w:marLeft w:val="0"/>
      <w:marRight w:val="0"/>
      <w:marTop w:val="0"/>
      <w:marBottom w:val="0"/>
      <w:divBdr>
        <w:top w:val="none" w:sz="0" w:space="0" w:color="auto"/>
        <w:left w:val="none" w:sz="0" w:space="0" w:color="auto"/>
        <w:bottom w:val="none" w:sz="0" w:space="0" w:color="auto"/>
        <w:right w:val="none" w:sz="0" w:space="0" w:color="auto"/>
      </w:divBdr>
      <w:divsChild>
        <w:div w:id="346906282">
          <w:marLeft w:val="-225"/>
          <w:marRight w:val="-225"/>
          <w:marTop w:val="0"/>
          <w:marBottom w:val="0"/>
          <w:divBdr>
            <w:top w:val="none" w:sz="0" w:space="0" w:color="auto"/>
            <w:left w:val="none" w:sz="0" w:space="0" w:color="auto"/>
            <w:bottom w:val="none" w:sz="0" w:space="0" w:color="auto"/>
            <w:right w:val="none" w:sz="0" w:space="0" w:color="auto"/>
          </w:divBdr>
          <w:divsChild>
            <w:div w:id="2130782551">
              <w:marLeft w:val="0"/>
              <w:marRight w:val="0"/>
              <w:marTop w:val="0"/>
              <w:marBottom w:val="0"/>
              <w:divBdr>
                <w:top w:val="none" w:sz="0" w:space="0" w:color="auto"/>
                <w:left w:val="none" w:sz="0" w:space="0" w:color="auto"/>
                <w:bottom w:val="none" w:sz="0" w:space="0" w:color="auto"/>
                <w:right w:val="none" w:sz="0" w:space="0" w:color="auto"/>
              </w:divBdr>
              <w:divsChild>
                <w:div w:id="1240168173">
                  <w:marLeft w:val="-225"/>
                  <w:marRight w:val="-225"/>
                  <w:marTop w:val="0"/>
                  <w:marBottom w:val="0"/>
                  <w:divBdr>
                    <w:top w:val="none" w:sz="0" w:space="0" w:color="auto"/>
                    <w:left w:val="none" w:sz="0" w:space="0" w:color="auto"/>
                    <w:bottom w:val="none" w:sz="0" w:space="0" w:color="auto"/>
                    <w:right w:val="none" w:sz="0" w:space="0" w:color="auto"/>
                  </w:divBdr>
                  <w:divsChild>
                    <w:div w:id="1138377363">
                      <w:marLeft w:val="0"/>
                      <w:marRight w:val="0"/>
                      <w:marTop w:val="0"/>
                      <w:marBottom w:val="0"/>
                      <w:divBdr>
                        <w:top w:val="none" w:sz="0" w:space="0" w:color="auto"/>
                        <w:left w:val="none" w:sz="0" w:space="0" w:color="auto"/>
                        <w:bottom w:val="none" w:sz="0" w:space="0" w:color="auto"/>
                        <w:right w:val="none" w:sz="0" w:space="0" w:color="auto"/>
                      </w:divBdr>
                      <w:divsChild>
                        <w:div w:id="921527468">
                          <w:marLeft w:val="0"/>
                          <w:marRight w:val="0"/>
                          <w:marTop w:val="0"/>
                          <w:marBottom w:val="0"/>
                          <w:divBdr>
                            <w:top w:val="none" w:sz="0" w:space="0" w:color="auto"/>
                            <w:left w:val="none" w:sz="0" w:space="0" w:color="auto"/>
                            <w:bottom w:val="none" w:sz="0" w:space="0" w:color="auto"/>
                            <w:right w:val="none" w:sz="0" w:space="0" w:color="auto"/>
                          </w:divBdr>
                          <w:divsChild>
                            <w:div w:id="2031947164">
                              <w:marLeft w:val="-225"/>
                              <w:marRight w:val="-225"/>
                              <w:marTop w:val="0"/>
                              <w:marBottom w:val="0"/>
                              <w:divBdr>
                                <w:top w:val="none" w:sz="0" w:space="0" w:color="auto"/>
                                <w:left w:val="none" w:sz="0" w:space="0" w:color="auto"/>
                                <w:bottom w:val="none" w:sz="0" w:space="0" w:color="auto"/>
                                <w:right w:val="none" w:sz="0" w:space="0" w:color="auto"/>
                              </w:divBdr>
                              <w:divsChild>
                                <w:div w:id="679157263">
                                  <w:marLeft w:val="0"/>
                                  <w:marRight w:val="0"/>
                                  <w:marTop w:val="0"/>
                                  <w:marBottom w:val="0"/>
                                  <w:divBdr>
                                    <w:top w:val="none" w:sz="0" w:space="0" w:color="auto"/>
                                    <w:left w:val="none" w:sz="0" w:space="0" w:color="auto"/>
                                    <w:bottom w:val="none" w:sz="0" w:space="0" w:color="auto"/>
                                    <w:right w:val="none" w:sz="0" w:space="0" w:color="auto"/>
                                  </w:divBdr>
                                </w:div>
                                <w:div w:id="1089814392">
                                  <w:marLeft w:val="0"/>
                                  <w:marRight w:val="0"/>
                                  <w:marTop w:val="0"/>
                                  <w:marBottom w:val="0"/>
                                  <w:divBdr>
                                    <w:top w:val="none" w:sz="0" w:space="0" w:color="auto"/>
                                    <w:left w:val="none" w:sz="0" w:space="0" w:color="auto"/>
                                    <w:bottom w:val="none" w:sz="0" w:space="0" w:color="auto"/>
                                    <w:right w:val="none" w:sz="0" w:space="0" w:color="auto"/>
                                  </w:divBdr>
                                  <w:divsChild>
                                    <w:div w:id="167213123">
                                      <w:marLeft w:val="-225"/>
                                      <w:marRight w:val="-225"/>
                                      <w:marTop w:val="0"/>
                                      <w:marBottom w:val="0"/>
                                      <w:divBdr>
                                        <w:top w:val="none" w:sz="0" w:space="0" w:color="auto"/>
                                        <w:left w:val="none" w:sz="0" w:space="0" w:color="auto"/>
                                        <w:bottom w:val="none" w:sz="0" w:space="0" w:color="auto"/>
                                        <w:right w:val="none" w:sz="0" w:space="0" w:color="auto"/>
                                      </w:divBdr>
                                      <w:divsChild>
                                        <w:div w:id="2127044591">
                                          <w:marLeft w:val="0"/>
                                          <w:marRight w:val="0"/>
                                          <w:marTop w:val="0"/>
                                          <w:marBottom w:val="0"/>
                                          <w:divBdr>
                                            <w:top w:val="none" w:sz="0" w:space="0" w:color="auto"/>
                                            <w:left w:val="none" w:sz="0" w:space="0" w:color="auto"/>
                                            <w:bottom w:val="none" w:sz="0" w:space="0" w:color="auto"/>
                                            <w:right w:val="none" w:sz="0" w:space="0" w:color="auto"/>
                                          </w:divBdr>
                                          <w:divsChild>
                                            <w:div w:id="903485638">
                                              <w:marLeft w:val="0"/>
                                              <w:marRight w:val="0"/>
                                              <w:marTop w:val="0"/>
                                              <w:marBottom w:val="0"/>
                                              <w:divBdr>
                                                <w:top w:val="none" w:sz="0" w:space="0" w:color="auto"/>
                                                <w:left w:val="none" w:sz="0" w:space="0" w:color="auto"/>
                                                <w:bottom w:val="none" w:sz="0" w:space="0" w:color="auto"/>
                                                <w:right w:val="none" w:sz="0" w:space="0" w:color="auto"/>
                                              </w:divBdr>
                                            </w:div>
                                          </w:divsChild>
                                        </w:div>
                                        <w:div w:id="692532224">
                                          <w:marLeft w:val="0"/>
                                          <w:marRight w:val="0"/>
                                          <w:marTop w:val="0"/>
                                          <w:marBottom w:val="0"/>
                                          <w:divBdr>
                                            <w:top w:val="none" w:sz="0" w:space="0" w:color="auto"/>
                                            <w:left w:val="none" w:sz="0" w:space="0" w:color="auto"/>
                                            <w:bottom w:val="none" w:sz="0" w:space="0" w:color="auto"/>
                                            <w:right w:val="none" w:sz="0" w:space="0" w:color="auto"/>
                                          </w:divBdr>
                                        </w:div>
                                        <w:div w:id="1367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760791">
                      <w:marLeft w:val="0"/>
                      <w:marRight w:val="0"/>
                      <w:marTop w:val="0"/>
                      <w:marBottom w:val="0"/>
                      <w:divBdr>
                        <w:top w:val="none" w:sz="0" w:space="0" w:color="auto"/>
                        <w:left w:val="none" w:sz="0" w:space="0" w:color="auto"/>
                        <w:bottom w:val="none" w:sz="0" w:space="0" w:color="auto"/>
                        <w:right w:val="none" w:sz="0" w:space="0" w:color="auto"/>
                      </w:divBdr>
                      <w:divsChild>
                        <w:div w:id="1896306358">
                          <w:marLeft w:val="0"/>
                          <w:marRight w:val="0"/>
                          <w:marTop w:val="0"/>
                          <w:marBottom w:val="0"/>
                          <w:divBdr>
                            <w:top w:val="none" w:sz="0" w:space="0" w:color="auto"/>
                            <w:left w:val="none" w:sz="0" w:space="0" w:color="auto"/>
                            <w:bottom w:val="none" w:sz="0" w:space="0" w:color="auto"/>
                            <w:right w:val="none" w:sz="0" w:space="0" w:color="auto"/>
                          </w:divBdr>
                          <w:divsChild>
                            <w:div w:id="419834521">
                              <w:marLeft w:val="0"/>
                              <w:marRight w:val="0"/>
                              <w:marTop w:val="0"/>
                              <w:marBottom w:val="0"/>
                              <w:divBdr>
                                <w:top w:val="none" w:sz="0" w:space="0" w:color="auto"/>
                                <w:left w:val="none" w:sz="0" w:space="0" w:color="auto"/>
                                <w:bottom w:val="none" w:sz="0" w:space="0" w:color="auto"/>
                                <w:right w:val="none" w:sz="0" w:space="0" w:color="auto"/>
                              </w:divBdr>
                            </w:div>
                            <w:div w:id="1007829504">
                              <w:marLeft w:val="0"/>
                              <w:marRight w:val="0"/>
                              <w:marTop w:val="0"/>
                              <w:marBottom w:val="0"/>
                              <w:divBdr>
                                <w:top w:val="none" w:sz="0" w:space="0" w:color="auto"/>
                                <w:left w:val="none" w:sz="0" w:space="0" w:color="auto"/>
                                <w:bottom w:val="none" w:sz="0" w:space="0" w:color="auto"/>
                                <w:right w:val="none" w:sz="0" w:space="0" w:color="auto"/>
                              </w:divBdr>
                            </w:div>
                            <w:div w:id="67002958">
                              <w:marLeft w:val="0"/>
                              <w:marRight w:val="0"/>
                              <w:marTop w:val="0"/>
                              <w:marBottom w:val="0"/>
                              <w:divBdr>
                                <w:top w:val="none" w:sz="0" w:space="0" w:color="auto"/>
                                <w:left w:val="none" w:sz="0" w:space="0" w:color="auto"/>
                                <w:bottom w:val="none" w:sz="0" w:space="0" w:color="auto"/>
                                <w:right w:val="none" w:sz="0" w:space="0" w:color="auto"/>
                              </w:divBdr>
                            </w:div>
                            <w:div w:id="2084180261">
                              <w:marLeft w:val="0"/>
                              <w:marRight w:val="0"/>
                              <w:marTop w:val="0"/>
                              <w:marBottom w:val="0"/>
                              <w:divBdr>
                                <w:top w:val="none" w:sz="0" w:space="0" w:color="auto"/>
                                <w:left w:val="none" w:sz="0" w:space="0" w:color="auto"/>
                                <w:bottom w:val="none" w:sz="0" w:space="0" w:color="auto"/>
                                <w:right w:val="none" w:sz="0" w:space="0" w:color="auto"/>
                              </w:divBdr>
                            </w:div>
                            <w:div w:id="13381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898872">
              <w:marLeft w:val="0"/>
              <w:marRight w:val="0"/>
              <w:marTop w:val="0"/>
              <w:marBottom w:val="0"/>
              <w:divBdr>
                <w:top w:val="none" w:sz="0" w:space="0" w:color="auto"/>
                <w:left w:val="none" w:sz="0" w:space="0" w:color="auto"/>
                <w:bottom w:val="none" w:sz="0" w:space="0" w:color="auto"/>
                <w:right w:val="none" w:sz="0" w:space="0" w:color="auto"/>
              </w:divBdr>
              <w:divsChild>
                <w:div w:id="1659724930">
                  <w:marLeft w:val="-225"/>
                  <w:marRight w:val="-225"/>
                  <w:marTop w:val="0"/>
                  <w:marBottom w:val="0"/>
                  <w:divBdr>
                    <w:top w:val="none" w:sz="0" w:space="0" w:color="auto"/>
                    <w:left w:val="none" w:sz="0" w:space="0" w:color="auto"/>
                    <w:bottom w:val="none" w:sz="0" w:space="0" w:color="auto"/>
                    <w:right w:val="none" w:sz="0" w:space="0" w:color="auto"/>
                  </w:divBdr>
                  <w:divsChild>
                    <w:div w:id="1558054434">
                      <w:marLeft w:val="0"/>
                      <w:marRight w:val="0"/>
                      <w:marTop w:val="0"/>
                      <w:marBottom w:val="0"/>
                      <w:divBdr>
                        <w:top w:val="none" w:sz="0" w:space="0" w:color="auto"/>
                        <w:left w:val="none" w:sz="0" w:space="0" w:color="auto"/>
                        <w:bottom w:val="none" w:sz="0" w:space="0" w:color="auto"/>
                        <w:right w:val="none" w:sz="0" w:space="0" w:color="auto"/>
                      </w:divBdr>
                      <w:divsChild>
                        <w:div w:id="637994220">
                          <w:marLeft w:val="0"/>
                          <w:marRight w:val="0"/>
                          <w:marTop w:val="0"/>
                          <w:marBottom w:val="0"/>
                          <w:divBdr>
                            <w:top w:val="none" w:sz="0" w:space="0" w:color="auto"/>
                            <w:left w:val="none" w:sz="0" w:space="0" w:color="auto"/>
                            <w:bottom w:val="none" w:sz="0" w:space="0" w:color="auto"/>
                            <w:right w:val="none" w:sz="0" w:space="0" w:color="auto"/>
                          </w:divBdr>
                          <w:divsChild>
                            <w:div w:id="187110182">
                              <w:marLeft w:val="0"/>
                              <w:marRight w:val="0"/>
                              <w:marTop w:val="0"/>
                              <w:marBottom w:val="0"/>
                              <w:divBdr>
                                <w:top w:val="none" w:sz="0" w:space="0" w:color="auto"/>
                                <w:left w:val="none" w:sz="0" w:space="0" w:color="auto"/>
                                <w:bottom w:val="none" w:sz="0" w:space="0" w:color="auto"/>
                                <w:right w:val="none" w:sz="0" w:space="0" w:color="auto"/>
                              </w:divBdr>
                            </w:div>
                            <w:div w:id="655569561">
                              <w:marLeft w:val="0"/>
                              <w:marRight w:val="0"/>
                              <w:marTop w:val="0"/>
                              <w:marBottom w:val="0"/>
                              <w:divBdr>
                                <w:top w:val="none" w:sz="0" w:space="0" w:color="auto"/>
                                <w:left w:val="none" w:sz="0" w:space="0" w:color="auto"/>
                                <w:bottom w:val="none" w:sz="0" w:space="0" w:color="auto"/>
                                <w:right w:val="none" w:sz="0" w:space="0" w:color="auto"/>
                              </w:divBdr>
                              <w:divsChild>
                                <w:div w:id="1358459468">
                                  <w:marLeft w:val="0"/>
                                  <w:marRight w:val="0"/>
                                  <w:marTop w:val="0"/>
                                  <w:marBottom w:val="0"/>
                                  <w:divBdr>
                                    <w:top w:val="none" w:sz="0" w:space="0" w:color="auto"/>
                                    <w:left w:val="none" w:sz="0" w:space="0" w:color="auto"/>
                                    <w:bottom w:val="none" w:sz="0" w:space="0" w:color="auto"/>
                                    <w:right w:val="none" w:sz="0" w:space="0" w:color="auto"/>
                                  </w:divBdr>
                                  <w:divsChild>
                                    <w:div w:id="918293113">
                                      <w:marLeft w:val="0"/>
                                      <w:marRight w:val="0"/>
                                      <w:marTop w:val="0"/>
                                      <w:marBottom w:val="0"/>
                                      <w:divBdr>
                                        <w:top w:val="none" w:sz="0" w:space="0" w:color="auto"/>
                                        <w:left w:val="none" w:sz="0" w:space="0" w:color="auto"/>
                                        <w:bottom w:val="none" w:sz="0" w:space="0" w:color="auto"/>
                                        <w:right w:val="none" w:sz="0" w:space="0" w:color="auto"/>
                                      </w:divBdr>
                                    </w:div>
                                  </w:divsChild>
                                </w:div>
                                <w:div w:id="1774132294">
                                  <w:marLeft w:val="0"/>
                                  <w:marRight w:val="0"/>
                                  <w:marTop w:val="0"/>
                                  <w:marBottom w:val="0"/>
                                  <w:divBdr>
                                    <w:top w:val="none" w:sz="0" w:space="0" w:color="auto"/>
                                    <w:left w:val="none" w:sz="0" w:space="0" w:color="auto"/>
                                    <w:bottom w:val="none" w:sz="0" w:space="0" w:color="auto"/>
                                    <w:right w:val="none" w:sz="0" w:space="0" w:color="auto"/>
                                  </w:divBdr>
                                </w:div>
                                <w:div w:id="6980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381692">
          <w:marLeft w:val="-225"/>
          <w:marRight w:val="-225"/>
          <w:marTop w:val="0"/>
          <w:marBottom w:val="0"/>
          <w:divBdr>
            <w:top w:val="none" w:sz="0" w:space="0" w:color="auto"/>
            <w:left w:val="none" w:sz="0" w:space="0" w:color="auto"/>
            <w:bottom w:val="none" w:sz="0" w:space="0" w:color="auto"/>
            <w:right w:val="none" w:sz="0" w:space="0" w:color="auto"/>
          </w:divBdr>
          <w:divsChild>
            <w:div w:id="271281735">
              <w:marLeft w:val="0"/>
              <w:marRight w:val="0"/>
              <w:marTop w:val="0"/>
              <w:marBottom w:val="0"/>
              <w:divBdr>
                <w:top w:val="none" w:sz="0" w:space="0" w:color="auto"/>
                <w:left w:val="none" w:sz="0" w:space="0" w:color="auto"/>
                <w:bottom w:val="none" w:sz="0" w:space="0" w:color="auto"/>
                <w:right w:val="none" w:sz="0" w:space="0" w:color="auto"/>
              </w:divBdr>
              <w:divsChild>
                <w:div w:id="1147169590">
                  <w:marLeft w:val="0"/>
                  <w:marRight w:val="0"/>
                  <w:marTop w:val="0"/>
                  <w:marBottom w:val="0"/>
                  <w:divBdr>
                    <w:top w:val="none" w:sz="0" w:space="0" w:color="auto"/>
                    <w:left w:val="none" w:sz="0" w:space="0" w:color="auto"/>
                    <w:bottom w:val="none" w:sz="0" w:space="0" w:color="auto"/>
                    <w:right w:val="none" w:sz="0" w:space="0" w:color="auto"/>
                  </w:divBdr>
                  <w:divsChild>
                    <w:div w:id="1212350530">
                      <w:marLeft w:val="0"/>
                      <w:marRight w:val="0"/>
                      <w:marTop w:val="0"/>
                      <w:marBottom w:val="0"/>
                      <w:divBdr>
                        <w:top w:val="none" w:sz="0" w:space="0" w:color="auto"/>
                        <w:left w:val="none" w:sz="0" w:space="0" w:color="auto"/>
                        <w:bottom w:val="single" w:sz="6" w:space="0" w:color="001689"/>
                        <w:right w:val="none" w:sz="0" w:space="0" w:color="auto"/>
                      </w:divBdr>
                    </w:div>
                    <w:div w:id="1887521359">
                      <w:marLeft w:val="0"/>
                      <w:marRight w:val="0"/>
                      <w:marTop w:val="0"/>
                      <w:marBottom w:val="0"/>
                      <w:divBdr>
                        <w:top w:val="none" w:sz="0" w:space="0" w:color="auto"/>
                        <w:left w:val="none" w:sz="0" w:space="0" w:color="auto"/>
                        <w:bottom w:val="single" w:sz="6" w:space="0" w:color="001689"/>
                        <w:right w:val="none" w:sz="0" w:space="0" w:color="auto"/>
                      </w:divBdr>
                    </w:div>
                    <w:div w:id="1618101518">
                      <w:marLeft w:val="0"/>
                      <w:marRight w:val="0"/>
                      <w:marTop w:val="0"/>
                      <w:marBottom w:val="0"/>
                      <w:divBdr>
                        <w:top w:val="none" w:sz="0" w:space="0" w:color="auto"/>
                        <w:left w:val="none" w:sz="0" w:space="0" w:color="auto"/>
                        <w:bottom w:val="single" w:sz="6" w:space="0" w:color="001689"/>
                        <w:right w:val="none" w:sz="0" w:space="0" w:color="auto"/>
                      </w:divBdr>
                    </w:div>
                    <w:div w:id="1033993820">
                      <w:marLeft w:val="-225"/>
                      <w:marRight w:val="-225"/>
                      <w:marTop w:val="0"/>
                      <w:marBottom w:val="0"/>
                      <w:divBdr>
                        <w:top w:val="none" w:sz="0" w:space="0" w:color="auto"/>
                        <w:left w:val="none" w:sz="0" w:space="0" w:color="auto"/>
                        <w:bottom w:val="none" w:sz="0" w:space="0" w:color="auto"/>
                        <w:right w:val="none" w:sz="0" w:space="0" w:color="auto"/>
                      </w:divBdr>
                      <w:divsChild>
                        <w:div w:id="1006782920">
                          <w:marLeft w:val="0"/>
                          <w:marRight w:val="0"/>
                          <w:marTop w:val="0"/>
                          <w:marBottom w:val="0"/>
                          <w:divBdr>
                            <w:top w:val="none" w:sz="0" w:space="0" w:color="auto"/>
                            <w:left w:val="none" w:sz="0" w:space="0" w:color="auto"/>
                            <w:bottom w:val="none" w:sz="0" w:space="0" w:color="auto"/>
                            <w:right w:val="none" w:sz="0" w:space="0" w:color="auto"/>
                          </w:divBdr>
                        </w:div>
                        <w:div w:id="4299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llat.com/Recherche/Collection/0-311536/colloques-et-essa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llat.com/Recherche/Editeur/0-784458/institut-francophone-pour-la-justice-et-la-democrat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411</Words>
  <Characters>2261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ANDRIEUX</dc:creator>
  <cp:keywords/>
  <dc:description/>
  <cp:lastModifiedBy>Isabelle ANDRIEUX</cp:lastModifiedBy>
  <cp:revision>1</cp:revision>
  <dcterms:created xsi:type="dcterms:W3CDTF">2025-02-07T15:13:00Z</dcterms:created>
  <dcterms:modified xsi:type="dcterms:W3CDTF">2025-02-07T15:27:00Z</dcterms:modified>
</cp:coreProperties>
</file>