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E3D5" w14:textId="77777777" w:rsidR="00F02C97" w:rsidRDefault="00F02C97" w:rsidP="00794E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1BDC0" w14:textId="1A6F416E" w:rsidR="0071696A" w:rsidRDefault="0071696A" w:rsidP="00F539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Великое Княжество Литовское </w:t>
      </w:r>
    </w:p>
    <w:p w14:paraId="28392620" w14:textId="077F6C97" w:rsidR="0071696A" w:rsidRPr="00F539EF" w:rsidRDefault="0071696A" w:rsidP="00F539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Культура</w:t>
      </w:r>
      <w:r w:rsidR="00F53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111E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="008A111E" w:rsidRPr="00F539EF">
        <w:rPr>
          <w:rFonts w:ascii="Times New Roman" w:hAnsi="Times New Roman" w:cs="Times New Roman"/>
          <w:b/>
          <w:bCs/>
          <w:sz w:val="28"/>
          <w:szCs w:val="28"/>
        </w:rPr>
        <w:t>–XV</w:t>
      </w:r>
      <w:r w:rsidR="00F539EF"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39EF"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25A947B3" w14:textId="505223DD" w:rsidR="0071696A" w:rsidRPr="0071696A" w:rsidRDefault="0071696A" w:rsidP="00F539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Понятия</w:t>
      </w:r>
      <w:r w:rsidRPr="0071696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E091E69" w14:textId="1307EF0C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Романский стиль</w:t>
      </w:r>
      <w:r>
        <w:rPr>
          <w:rFonts w:ascii="Times New Roman" w:hAnsi="Times New Roman" w:cs="Times New Roman"/>
          <w:sz w:val="28"/>
          <w:szCs w:val="28"/>
        </w:rPr>
        <w:t xml:space="preserve"> – стиль искусства Средневековой Европы, господствовавший в </w:t>
      </w:r>
      <w:r w:rsidR="007D120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D120A" w:rsidRPr="0071696A">
        <w:rPr>
          <w:rFonts w:ascii="Times New Roman" w:hAnsi="Times New Roman" w:cs="Times New Roman"/>
          <w:sz w:val="28"/>
          <w:szCs w:val="28"/>
        </w:rPr>
        <w:t>–XII</w:t>
      </w:r>
      <w:r w:rsidRPr="00716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 В архитектуре для него характерны массивный и суровый вид строений. На территории Беларуси широкого распространения не получил</w:t>
      </w:r>
    </w:p>
    <w:p w14:paraId="2688770E" w14:textId="24F30AB8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Готический стиль</w:t>
      </w:r>
      <w:r>
        <w:rPr>
          <w:rFonts w:ascii="Times New Roman" w:hAnsi="Times New Roman" w:cs="Times New Roman"/>
          <w:sz w:val="28"/>
          <w:szCs w:val="28"/>
        </w:rPr>
        <w:t xml:space="preserve"> – стиль искусства Средневековой Европы, господствовавший с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716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вв. В </w:t>
      </w:r>
      <w:r w:rsidR="007D120A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7D120A" w:rsidRPr="0071696A">
        <w:rPr>
          <w:rFonts w:ascii="Times New Roman" w:hAnsi="Times New Roman" w:cs="Times New Roman"/>
          <w:sz w:val="28"/>
          <w:szCs w:val="28"/>
        </w:rPr>
        <w:t>–XV</w:t>
      </w:r>
      <w:r w:rsidRPr="00716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 являлся господствующим стилем на территории Беларуси. Характерны остроконечные башни, узкие окна, стрельчатые арки, витражи</w:t>
      </w:r>
    </w:p>
    <w:p w14:paraId="73A5F2A9" w14:textId="040FCA90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Витраж</w:t>
      </w:r>
      <w:r>
        <w:rPr>
          <w:rFonts w:ascii="Times New Roman" w:hAnsi="Times New Roman" w:cs="Times New Roman"/>
          <w:sz w:val="28"/>
          <w:szCs w:val="28"/>
        </w:rPr>
        <w:t xml:space="preserve"> – произведение искусства из цветного стекла, рассчитанного на сквозное освещение</w:t>
      </w:r>
    </w:p>
    <w:p w14:paraId="1B3D813B" w14:textId="6209A34A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Контрфорс</w:t>
      </w:r>
      <w:r>
        <w:rPr>
          <w:rFonts w:ascii="Times New Roman" w:hAnsi="Times New Roman" w:cs="Times New Roman"/>
          <w:sz w:val="28"/>
          <w:szCs w:val="28"/>
        </w:rPr>
        <w:t xml:space="preserve"> – деталь для поддержки стен</w:t>
      </w:r>
    </w:p>
    <w:p w14:paraId="36E978C8" w14:textId="3510CB7E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Бут</w:t>
      </w:r>
      <w:r>
        <w:rPr>
          <w:rFonts w:ascii="Times New Roman" w:hAnsi="Times New Roman" w:cs="Times New Roman"/>
          <w:sz w:val="28"/>
          <w:szCs w:val="28"/>
        </w:rPr>
        <w:t xml:space="preserve"> – необработанный природный камень, использовавшийся при строительстве оборонительных сооружений</w:t>
      </w:r>
    </w:p>
    <w:p w14:paraId="2DDDE8D7" w14:textId="431542C9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Пальчатка</w:t>
      </w:r>
      <w:r>
        <w:rPr>
          <w:rFonts w:ascii="Times New Roman" w:hAnsi="Times New Roman" w:cs="Times New Roman"/>
          <w:sz w:val="28"/>
          <w:szCs w:val="28"/>
        </w:rPr>
        <w:t xml:space="preserve"> – крупноразмерный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кирипч</w:t>
      </w:r>
      <w:proofErr w:type="spellEnd"/>
    </w:p>
    <w:p w14:paraId="7333340D" w14:textId="73C096CB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Кастель</w:t>
      </w:r>
      <w:r>
        <w:rPr>
          <w:rFonts w:ascii="Times New Roman" w:hAnsi="Times New Roman" w:cs="Times New Roman"/>
          <w:sz w:val="28"/>
          <w:szCs w:val="28"/>
        </w:rPr>
        <w:t xml:space="preserve"> – оборонительное сооружение. Прямоугольное строение, основу которого составляли каменные стены с одной или двумя башнями по углам</w:t>
      </w:r>
    </w:p>
    <w:p w14:paraId="63F5A1D1" w14:textId="12A4353C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Иконопись</w:t>
      </w:r>
      <w:r>
        <w:rPr>
          <w:rFonts w:ascii="Times New Roman" w:hAnsi="Times New Roman" w:cs="Times New Roman"/>
          <w:sz w:val="28"/>
          <w:szCs w:val="28"/>
        </w:rPr>
        <w:t xml:space="preserve"> – вид живописи, предназначенные для создания священных изображений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</w:t>
      </w:r>
      <w:proofErr w:type="spellEnd"/>
    </w:p>
    <w:p w14:paraId="37093D1F" w14:textId="58C41D4C" w:rsidR="0071696A" w:rsidRDefault="0071696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Книжная миниатюра</w:t>
      </w:r>
      <w:r>
        <w:rPr>
          <w:rFonts w:ascii="Times New Roman" w:hAnsi="Times New Roman" w:cs="Times New Roman"/>
          <w:sz w:val="28"/>
          <w:szCs w:val="28"/>
        </w:rPr>
        <w:t xml:space="preserve"> – рисунки, многоцветные иллюстрации в книгах, а также изобразительно-декоративные элементы оформления книг – инициалы, заставки, концовки </w:t>
      </w:r>
    </w:p>
    <w:p w14:paraId="5CC847DE" w14:textId="55763273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Инициалы</w:t>
      </w:r>
      <w:r>
        <w:rPr>
          <w:rFonts w:ascii="Times New Roman" w:hAnsi="Times New Roman" w:cs="Times New Roman"/>
          <w:sz w:val="28"/>
          <w:szCs w:val="28"/>
        </w:rPr>
        <w:t xml:space="preserve"> – по-особому оформленная первая буква. Сочетались элементы орнамента с изображением фантастических существ </w:t>
      </w:r>
    </w:p>
    <w:p w14:paraId="1ACFB511" w14:textId="2BE49B71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Этнос</w:t>
      </w:r>
      <w:r>
        <w:rPr>
          <w:rFonts w:ascii="Times New Roman" w:hAnsi="Times New Roman" w:cs="Times New Roman"/>
          <w:sz w:val="28"/>
          <w:szCs w:val="28"/>
        </w:rPr>
        <w:t xml:space="preserve"> – исторически сложившаяся группа людей, объединенная общим происхождением, территорией, самосознанием, языком, бытом и культурой</w:t>
      </w:r>
    </w:p>
    <w:p w14:paraId="3F6CFC3B" w14:textId="51FE2E82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Народность</w:t>
      </w:r>
      <w:r>
        <w:rPr>
          <w:rFonts w:ascii="Times New Roman" w:hAnsi="Times New Roman" w:cs="Times New Roman"/>
          <w:sz w:val="28"/>
          <w:szCs w:val="28"/>
        </w:rPr>
        <w:t xml:space="preserve"> – устойчивая общность людей, основанная на общности языка, территории, экономической жизни и культуры, которая образуется в процессе разложения племенных отношений и предшествует нации. Характеризуется наличием этнического сознания, самосознания, особым психическим складом</w:t>
      </w:r>
    </w:p>
    <w:p w14:paraId="1DA974B4" w14:textId="6048A1D0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Этническая территория</w:t>
      </w:r>
      <w:r>
        <w:rPr>
          <w:rFonts w:ascii="Times New Roman" w:hAnsi="Times New Roman" w:cs="Times New Roman"/>
          <w:sz w:val="28"/>
          <w:szCs w:val="28"/>
        </w:rPr>
        <w:t xml:space="preserve"> – территория компактного расселения определенного народа</w:t>
      </w:r>
    </w:p>
    <w:p w14:paraId="5E67454A" w14:textId="65B65018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Этническое самосознание</w:t>
      </w:r>
      <w:r>
        <w:rPr>
          <w:rFonts w:ascii="Times New Roman" w:hAnsi="Times New Roman" w:cs="Times New Roman"/>
          <w:sz w:val="28"/>
          <w:szCs w:val="28"/>
        </w:rPr>
        <w:t xml:space="preserve"> – осознание людьми своей принадлежности к определенному народу </w:t>
      </w:r>
    </w:p>
    <w:p w14:paraId="06A3F4F8" w14:textId="3CE9299C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Фольклор</w:t>
      </w:r>
      <w:r>
        <w:rPr>
          <w:rFonts w:ascii="Times New Roman" w:hAnsi="Times New Roman" w:cs="Times New Roman"/>
          <w:sz w:val="28"/>
          <w:szCs w:val="28"/>
        </w:rPr>
        <w:t xml:space="preserve"> – устное народное творчество </w:t>
      </w:r>
    </w:p>
    <w:p w14:paraId="6607CD14" w14:textId="795359B2" w:rsidR="007D120A" w:rsidRDefault="007D120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20A">
        <w:rPr>
          <w:rFonts w:ascii="Times New Roman" w:hAnsi="Times New Roman" w:cs="Times New Roman"/>
          <w:b/>
          <w:bCs/>
          <w:sz w:val="28"/>
          <w:szCs w:val="28"/>
        </w:rPr>
        <w:t>- Этнография</w:t>
      </w:r>
      <w:r>
        <w:rPr>
          <w:rFonts w:ascii="Times New Roman" w:hAnsi="Times New Roman" w:cs="Times New Roman"/>
          <w:sz w:val="28"/>
          <w:szCs w:val="28"/>
        </w:rPr>
        <w:t xml:space="preserve"> – наука, изучающая бытовые и культурные особенности этносов </w:t>
      </w:r>
    </w:p>
    <w:p w14:paraId="553928EE" w14:textId="77777777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FCB6B" w14:textId="727D3B96" w:rsidR="00F539EF" w:rsidRP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Характерные черты культуры в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–XV вв.: </w:t>
      </w:r>
    </w:p>
    <w:p w14:paraId="0D84D0AE" w14:textId="043D5605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активное строительство замков </w:t>
      </w:r>
    </w:p>
    <w:p w14:paraId="3382A9A1" w14:textId="253D8A9E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господство готического стиля</w:t>
      </w:r>
    </w:p>
    <w:p w14:paraId="01232E2E" w14:textId="7E5E9ACE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появление нового жанра – портрета </w:t>
      </w:r>
    </w:p>
    <w:p w14:paraId="738FB8B0" w14:textId="083AD3DC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появление витражей и скульптуры в оформлении зданий</w:t>
      </w:r>
    </w:p>
    <w:p w14:paraId="1173B718" w14:textId="4A2FB44F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начало государственного летописания и законодательства </w:t>
      </w:r>
    </w:p>
    <w:p w14:paraId="6215D258" w14:textId="13FD0CC1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старобелорусский язык приобрел статус официального языка делопроизводства</w:t>
      </w:r>
    </w:p>
    <w:p w14:paraId="2251D465" w14:textId="3854112E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религиозной, паломнической и панегирической литературы </w:t>
      </w:r>
    </w:p>
    <w:p w14:paraId="56EB4A98" w14:textId="5E22A768" w:rsidR="00F539EF" w:rsidRP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7940DA" w14:textId="77777777" w:rsidR="0071696A" w:rsidRDefault="0071696A" w:rsidP="00F539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C038C" w14:textId="373C0AF0" w:rsidR="005F2957" w:rsidRDefault="007D120A" w:rsidP="00F539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Оборонительное зодчество</w:t>
      </w:r>
      <w:r w:rsidR="00F539EF" w:rsidRPr="00F539E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BE5585B" w14:textId="755E7A21" w:rsidR="007D120A" w:rsidRDefault="007D120A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Первая половина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Верхний и Нижний замки в Витебске. Самые мощные замки ВКЛ. Длина стен – 2 км. 15 башен. </w:t>
      </w:r>
    </w:p>
    <w:p w14:paraId="64AC72E6" w14:textId="03BA0C1C" w:rsidR="007D120A" w:rsidRDefault="007D120A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– начало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Верхний и Нижний замок в Вильно. Резиденция великих князей литовских</w:t>
      </w:r>
    </w:p>
    <w:p w14:paraId="5FAD4C62" w14:textId="77777777" w:rsidR="007D120A" w:rsidRDefault="007D120A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8752E3" w14:textId="6A577B7F" w:rsidR="007D120A" w:rsidRDefault="007D120A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– начало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замок в Троки. Замок посредине озера. Резиденция великих князей литовских</w:t>
      </w:r>
    </w:p>
    <w:p w14:paraId="2D4D7974" w14:textId="09D31F71" w:rsidR="007D120A" w:rsidRDefault="007D120A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– начало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замки-кастели в Лиде и Крево. Четырехугольный замок с двумя мощными каменными стенами и двумя башнями по углам</w:t>
      </w:r>
    </w:p>
    <w:p w14:paraId="1B294C56" w14:textId="073DDB9C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замок и фарный костел в Новогрудке. </w:t>
      </w:r>
    </w:p>
    <w:p w14:paraId="5F43871F" w14:textId="76AA3872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7D1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начало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7D1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в.- замок в Гродно. Каменные стены и 5 башен </w:t>
      </w:r>
    </w:p>
    <w:p w14:paraId="3375549E" w14:textId="77777777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1D5D2" w14:textId="340C5E9C" w:rsidR="00F539EF" w:rsidRPr="00F539EF" w:rsidRDefault="00F539EF" w:rsidP="00F539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Особенности белорусской готики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A24C04" w14:textId="64B01B0E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использование кирпича и укрепление стен контрфорсами </w:t>
      </w:r>
    </w:p>
    <w:p w14:paraId="5EF51050" w14:textId="43AF9331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треугольные остроконечные фасады</w:t>
      </w:r>
    </w:p>
    <w:p w14:paraId="61E08039" w14:textId="18553C62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сдержанность и суровость </w:t>
      </w:r>
    </w:p>
    <w:p w14:paraId="52A79005" w14:textId="718C1EAA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округлые арки и ниши </w:t>
      </w:r>
    </w:p>
    <w:p w14:paraId="299BAE7F" w14:textId="77777777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7DAF1B" w14:textId="5A990E78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Живопись и скульптура:</w:t>
      </w:r>
      <w:r>
        <w:rPr>
          <w:rFonts w:ascii="Times New Roman" w:hAnsi="Times New Roman" w:cs="Times New Roman"/>
          <w:sz w:val="28"/>
          <w:szCs w:val="28"/>
        </w:rPr>
        <w:br/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– начало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Икона «Матерь божья Умиление». Принадлежит к византийскому стилю</w:t>
      </w:r>
    </w:p>
    <w:p w14:paraId="1E877AF2" w14:textId="375E7DA0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Начало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портрет Ягайло. Фреска. Выполнена мастером Андреем </w:t>
      </w:r>
    </w:p>
    <w:p w14:paraId="6C3B4E76" w14:textId="041D5601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Начало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портрет Витовта. Фреска.</w:t>
      </w:r>
    </w:p>
    <w:p w14:paraId="664F10DC" w14:textId="62B783DC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>–XV вв.</w:t>
      </w:r>
      <w:r>
        <w:rPr>
          <w:rFonts w:ascii="Times New Roman" w:hAnsi="Times New Roman" w:cs="Times New Roman"/>
          <w:sz w:val="28"/>
          <w:szCs w:val="28"/>
        </w:rPr>
        <w:t xml:space="preserve"> – скульптура Девы Марии в д. Рось  </w:t>
      </w:r>
    </w:p>
    <w:p w14:paraId="72C1950C" w14:textId="77777777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498B16" w14:textId="77777777" w:rsidR="00F539EF" w:rsidRP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Рукописные книги и летописи:</w:t>
      </w:r>
    </w:p>
    <w:p w14:paraId="2892BA46" w14:textId="079570FD" w:rsidR="00F539EF" w:rsidRP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Виды литературы в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>–XV вв.</w:t>
      </w:r>
    </w:p>
    <w:p w14:paraId="3249BB96" w14:textId="4A0EF382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sz w:val="28"/>
          <w:szCs w:val="28"/>
        </w:rPr>
        <w:tab/>
      </w:r>
      <w:r w:rsidRPr="00F02C9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религиозная</w:t>
      </w:r>
    </w:p>
    <w:p w14:paraId="3C6DE26C" w14:textId="3201DE74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паломническая </w:t>
      </w:r>
    </w:p>
    <w:p w14:paraId="346D7879" w14:textId="4976A465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панегирическая (прославление разных лиц)</w:t>
      </w:r>
    </w:p>
    <w:p w14:paraId="3D490F0B" w14:textId="77777777" w:rsidR="00F539EF" w:rsidRP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87E98" w14:textId="4B108AF0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- Мстиславское евангелие (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в.)</w:t>
      </w:r>
      <w:r>
        <w:rPr>
          <w:rFonts w:ascii="Times New Roman" w:hAnsi="Times New Roman" w:cs="Times New Roman"/>
          <w:sz w:val="28"/>
          <w:szCs w:val="28"/>
        </w:rPr>
        <w:t xml:space="preserve"> – Украшено изображениями силуэта храма, мифологических зверей</w:t>
      </w:r>
    </w:p>
    <w:p w14:paraId="579CBA7B" w14:textId="3250DE41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- Лавришевское евангелие (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в.)</w:t>
      </w:r>
      <w:r>
        <w:rPr>
          <w:rFonts w:ascii="Times New Roman" w:hAnsi="Times New Roman" w:cs="Times New Roman"/>
          <w:sz w:val="28"/>
          <w:szCs w:val="28"/>
        </w:rPr>
        <w:t xml:space="preserve"> – Представлены изображения в миниатюрах и сцены из реальной жизни</w:t>
      </w:r>
    </w:p>
    <w:p w14:paraId="220D94BD" w14:textId="7A7803A1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- Летописец великих князей литовских (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в.)</w:t>
      </w:r>
      <w:r>
        <w:rPr>
          <w:rFonts w:ascii="Times New Roman" w:hAnsi="Times New Roman" w:cs="Times New Roman"/>
          <w:sz w:val="28"/>
          <w:szCs w:val="28"/>
        </w:rPr>
        <w:t xml:space="preserve"> – Изложена история ВКЛ от даты смерти Гедемина до конца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F53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7A878B07" w14:textId="1A87B43D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lastRenderedPageBreak/>
        <w:t>- Белорусско-литовская летопись 1446 г. (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в.)</w:t>
      </w:r>
      <w:r>
        <w:rPr>
          <w:rFonts w:ascii="Times New Roman" w:hAnsi="Times New Roman" w:cs="Times New Roman"/>
          <w:sz w:val="28"/>
          <w:szCs w:val="28"/>
        </w:rPr>
        <w:t xml:space="preserve"> – Последняя запись датируется 1446 г., описываются события от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в., подробно уделено внимание княжению Витовта </w:t>
      </w:r>
    </w:p>
    <w:p w14:paraId="020F7B23" w14:textId="0CD247F9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- Похвала Витову (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в.)</w:t>
      </w:r>
      <w:r>
        <w:rPr>
          <w:rFonts w:ascii="Times New Roman" w:hAnsi="Times New Roman" w:cs="Times New Roman"/>
          <w:sz w:val="28"/>
          <w:szCs w:val="28"/>
        </w:rPr>
        <w:t xml:space="preserve"> – Витовт прославляется как мудрый и могущественный правитель </w:t>
      </w:r>
    </w:p>
    <w:p w14:paraId="3061035C" w14:textId="12EE1D5F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- Радзивилловская летопись (конец </w:t>
      </w:r>
      <w:r w:rsidRPr="00F539EF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539EF">
        <w:rPr>
          <w:rFonts w:ascii="Times New Roman" w:hAnsi="Times New Roman" w:cs="Times New Roman"/>
          <w:b/>
          <w:bCs/>
          <w:sz w:val="28"/>
          <w:szCs w:val="28"/>
        </w:rPr>
        <w:t xml:space="preserve"> в.)</w:t>
      </w:r>
      <w:r>
        <w:rPr>
          <w:rFonts w:ascii="Times New Roman" w:hAnsi="Times New Roman" w:cs="Times New Roman"/>
          <w:sz w:val="28"/>
          <w:szCs w:val="28"/>
        </w:rPr>
        <w:t xml:space="preserve"> – Состоит из 617 миниатюр, где представлены различные стороны жизни средневекового общества </w:t>
      </w:r>
    </w:p>
    <w:p w14:paraId="3F68CCDB" w14:textId="77777777" w:rsid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1A92C" w14:textId="12A6868A" w:rsidR="00F539EF" w:rsidRPr="00F539EF" w:rsidRDefault="00F539EF" w:rsidP="00F539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Особенности формирования белорусского этноса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BD31445" w14:textId="594683BF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этническая основа – кривичи-полочане, радимичи, дреговичи </w:t>
      </w:r>
    </w:p>
    <w:p w14:paraId="088EABF3" w14:textId="69C91364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сочетание культуры древнерусского периода и европейской культуры </w:t>
      </w:r>
    </w:p>
    <w:p w14:paraId="45C99890" w14:textId="11890139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формированию способствовало нахождение белорусских земель в составе единого государства – ВКЛ</w:t>
      </w:r>
    </w:p>
    <w:p w14:paraId="7C0B02BB" w14:textId="4FD39A8A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старобелорусский язык имел статус государственного языка, на нем составлялись официальные документы, велась переписка, создавались художественные произведения</w:t>
      </w:r>
    </w:p>
    <w:p w14:paraId="3CF52EFB" w14:textId="3E12AC09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разделение общества на сословия и религиозные конфессии – препятствовали быстром объединению народа </w:t>
      </w:r>
    </w:p>
    <w:p w14:paraId="41201E87" w14:textId="58937B5B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шляхта придерживалась идей сарматизма – происхождение шляхты от древнего народа сарматов, что мешало общему единению </w:t>
      </w:r>
    </w:p>
    <w:p w14:paraId="16E1D06F" w14:textId="77777777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956C67" w14:textId="3C5AECED" w:rsidR="00F539EF" w:rsidRP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9EF">
        <w:rPr>
          <w:rFonts w:ascii="Times New Roman" w:hAnsi="Times New Roman" w:cs="Times New Roman"/>
          <w:b/>
          <w:bCs/>
          <w:sz w:val="28"/>
          <w:szCs w:val="28"/>
        </w:rPr>
        <w:t>Название жителей белорусских земель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0F38093" w14:textId="572FC875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литвины (современная Литва и белорусское Понеманье)</w:t>
      </w:r>
    </w:p>
    <w:p w14:paraId="6E95F8B4" w14:textId="274330C1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русины (жители Подвинья и Поднепровья)</w:t>
      </w:r>
    </w:p>
    <w:p w14:paraId="6AF201A1" w14:textId="70368376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белорусцы (северо-восточные белорусские земли)</w:t>
      </w:r>
    </w:p>
    <w:p w14:paraId="176B6C78" w14:textId="4E6342E6" w:rsidR="00F539EF" w:rsidRDefault="00F539EF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полешуки (жители Полесья)</w:t>
      </w:r>
    </w:p>
    <w:p w14:paraId="513DB76F" w14:textId="77777777" w:rsidR="0028104A" w:rsidRDefault="0028104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BEFD7" w14:textId="19BAA019" w:rsidR="0028104A" w:rsidRPr="0028104A" w:rsidRDefault="0028104A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104A">
        <w:rPr>
          <w:rFonts w:ascii="Times New Roman" w:hAnsi="Times New Roman" w:cs="Times New Roman"/>
          <w:b/>
          <w:bCs/>
          <w:sz w:val="28"/>
          <w:szCs w:val="28"/>
        </w:rPr>
        <w:t>Особенности старобелорусского языка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F6F89F0" w14:textId="2525D1FF" w:rsidR="0028104A" w:rsidRDefault="0028104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формировался на основе восточнославянских говоров с влиянием польского и литовских языков </w:t>
      </w:r>
    </w:p>
    <w:p w14:paraId="12836B9B" w14:textId="6EE312F9" w:rsidR="0028104A" w:rsidRDefault="0028104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характерное «дзеканье», «цеканье», «аканье», «твердое р»</w:t>
      </w:r>
    </w:p>
    <w:p w14:paraId="15762770" w14:textId="7A7A2B11" w:rsidR="0028104A" w:rsidRDefault="0028104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закрепился в качестве языка государственного делопроизводства и законодательств ВКЛ</w:t>
      </w:r>
    </w:p>
    <w:p w14:paraId="2DC6EA56" w14:textId="77777777" w:rsidR="0028104A" w:rsidRDefault="0028104A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8B3762" w14:textId="5B76734B" w:rsidR="008A111E" w:rsidRPr="008A111E" w:rsidRDefault="008A111E" w:rsidP="008A1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11E">
        <w:rPr>
          <w:rFonts w:ascii="Times New Roman" w:hAnsi="Times New Roman" w:cs="Times New Roman"/>
          <w:b/>
          <w:bCs/>
          <w:sz w:val="28"/>
          <w:szCs w:val="28"/>
        </w:rPr>
        <w:t>Название «Белая Русь»</w:t>
      </w:r>
    </w:p>
    <w:p w14:paraId="0C803171" w14:textId="32E7585F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5C9ED" w14:textId="26FB8A9C" w:rsidR="008A111E" w:rsidRPr="00F02C97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111E">
        <w:rPr>
          <w:rFonts w:ascii="Times New Roman" w:hAnsi="Times New Roman" w:cs="Times New Roman"/>
          <w:b/>
          <w:bCs/>
          <w:sz w:val="28"/>
          <w:szCs w:val="28"/>
        </w:rPr>
        <w:t>- Версии происхождения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E79DA50" w14:textId="5E441E83" w:rsidR="00F539EF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C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- белый цвет обозначал восток, где и находилась Беларусь</w:t>
      </w:r>
    </w:p>
    <w:p w14:paraId="7C0EF99D" w14:textId="66668907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внешний облик населения</w:t>
      </w:r>
      <w:r w:rsidRPr="008A111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светлые волосы, белая одежда</w:t>
      </w:r>
    </w:p>
    <w:p w14:paraId="1C51B7F8" w14:textId="7DFB1791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религиозные особенности</w:t>
      </w:r>
      <w:r w:rsidRPr="008A111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православная – значит белая и чистая</w:t>
      </w:r>
    </w:p>
    <w:p w14:paraId="120C648A" w14:textId="28BEA819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территория, не захваченная крестоносцами и тарами – значит белая, свободная</w:t>
      </w:r>
    </w:p>
    <w:p w14:paraId="23290B01" w14:textId="46F7D80F" w:rsidR="008A111E" w:rsidRP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111E">
        <w:rPr>
          <w:rFonts w:ascii="Times New Roman" w:hAnsi="Times New Roman" w:cs="Times New Roman"/>
          <w:b/>
          <w:bCs/>
          <w:sz w:val="28"/>
          <w:szCs w:val="28"/>
        </w:rPr>
        <w:t>- Использование термина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AE7457" w14:textId="09537D9C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упоминается в 1382 г. «Полоцк – крепость Белой Руси»</w:t>
      </w:r>
    </w:p>
    <w:p w14:paraId="0CBF382D" w14:textId="24E7DC20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В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в. Использовался в отношении Подвинья и Верхнего Поднепровья</w:t>
      </w:r>
    </w:p>
    <w:p w14:paraId="588C0A46" w14:textId="6EA8FB4E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Соломон Рысинский -первый, кто назвал себя белорусом, уроженец Полоцка, писатель и поэт </w:t>
      </w:r>
    </w:p>
    <w:p w14:paraId="1408C962" w14:textId="77777777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C53F7F" w14:textId="27B64520" w:rsidR="008A111E" w:rsidRP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111E">
        <w:rPr>
          <w:rFonts w:ascii="Times New Roman" w:hAnsi="Times New Roman" w:cs="Times New Roman"/>
          <w:b/>
          <w:bCs/>
          <w:sz w:val="28"/>
          <w:szCs w:val="28"/>
        </w:rPr>
        <w:t>ВКЛ – моноэтническое государство</w:t>
      </w:r>
      <w:r w:rsidRPr="00F02C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A11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467543" w14:textId="7C5B3DA2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Немцы – поселились в первой половине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8A1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 по приглашению князей. Занимались ремеслом и торговлей </w:t>
      </w:r>
    </w:p>
    <w:p w14:paraId="0CE05063" w14:textId="1253524F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Татары - поселились в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>
        <w:rPr>
          <w:rFonts w:ascii="Times New Roman" w:hAnsi="Times New Roman" w:cs="Times New Roman"/>
          <w:sz w:val="28"/>
          <w:szCs w:val="28"/>
        </w:rPr>
        <w:t xml:space="preserve"> в. По приглашению Витовта. Служили в армии</w:t>
      </w:r>
    </w:p>
    <w:p w14:paraId="2C10384A" w14:textId="64B160AA" w:rsid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Евреи – поселились в конце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8A1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 Из-за гонений в Западной Европе. Занимались ремеслом и торговлей </w:t>
      </w:r>
    </w:p>
    <w:p w14:paraId="031A7A8C" w14:textId="792BFDD8" w:rsidR="008A111E" w:rsidRP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Цыгане – поселились в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8A1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 из-за суровых законов в Западной Европе. Занимались ремеслом и торговлей </w:t>
      </w:r>
    </w:p>
    <w:p w14:paraId="021F31F5" w14:textId="77777777" w:rsidR="008A111E" w:rsidRPr="008A111E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0A15B" w14:textId="3D567178" w:rsidR="00F539EF" w:rsidRPr="00F539EF" w:rsidRDefault="008A111E" w:rsidP="00F53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5A2C4F5" wp14:editId="3D3EFC3E">
            <wp:extent cx="5940425" cy="4455160"/>
            <wp:effectExtent l="0" t="0" r="3175" b="2540"/>
            <wp:docPr id="1657674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FA3B8" w14:textId="77777777" w:rsidR="00F539EF" w:rsidRPr="00F539EF" w:rsidRDefault="00F539EF" w:rsidP="00F5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A44B56" w14:textId="5582270D" w:rsidR="007D120A" w:rsidRPr="007D120A" w:rsidRDefault="007D120A" w:rsidP="00F539EF">
      <w:pPr>
        <w:spacing w:after="0" w:line="240" w:lineRule="auto"/>
      </w:pPr>
    </w:p>
    <w:sectPr w:rsidR="007D120A" w:rsidRPr="007D1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A6373"/>
    <w:multiLevelType w:val="hybridMultilevel"/>
    <w:tmpl w:val="F1A04C7E"/>
    <w:lvl w:ilvl="0" w:tplc="97FAEE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165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211"/>
    <w:rsid w:val="000D5457"/>
    <w:rsid w:val="00136951"/>
    <w:rsid w:val="0028104A"/>
    <w:rsid w:val="005F2957"/>
    <w:rsid w:val="0071696A"/>
    <w:rsid w:val="00794E67"/>
    <w:rsid w:val="007D120A"/>
    <w:rsid w:val="008A111E"/>
    <w:rsid w:val="00E03211"/>
    <w:rsid w:val="00F02C97"/>
    <w:rsid w:val="00F5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8147"/>
  <w15:chartTrackingRefBased/>
  <w15:docId w15:val="{D39053C0-8E6C-4D78-AAC2-FBB2DDDE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96A"/>
    <w:pPr>
      <w:spacing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E032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2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21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21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21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21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21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21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21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2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2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2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2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2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2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3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21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3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21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32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211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E032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32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32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7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Жигалов</dc:creator>
  <cp:keywords/>
  <dc:description/>
  <cp:lastModifiedBy>Роман Жигалов</cp:lastModifiedBy>
  <cp:revision>6</cp:revision>
  <cp:lastPrinted>2025-09-02T13:40:00Z</cp:lastPrinted>
  <dcterms:created xsi:type="dcterms:W3CDTF">2023-10-31T17:45:00Z</dcterms:created>
  <dcterms:modified xsi:type="dcterms:W3CDTF">2025-09-02T13:41:00Z</dcterms:modified>
</cp:coreProperties>
</file>