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B9797E" w14:paraId="1C630B4D" w14:textId="42BD95A1" w:rsidTr="00345C8F">
        <w:tc>
          <w:tcPr>
            <w:tcW w:w="10773" w:type="dxa"/>
            <w:gridSpan w:val="2"/>
          </w:tcPr>
          <w:p w14:paraId="6157D9AC" w14:textId="77777777" w:rsidR="00FF7670" w:rsidRPr="006E7DA8" w:rsidRDefault="00FF7670" w:rsidP="006E7DA8">
            <w:pPr>
              <w:pStyle w:val="af"/>
              <w:spacing w:before="240"/>
              <w:ind w:firstLine="142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6E7DA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Адвокат</w:t>
            </w:r>
          </w:p>
          <w:bookmarkEnd w:id="0"/>
          <w:p w14:paraId="7E2225AA" w14:textId="56C86858" w:rsidR="00E225A1" w:rsidRPr="00B9797E" w:rsidRDefault="00E225A1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B9797E" w14:paraId="2EAB2219" w14:textId="543F660E" w:rsidTr="00345C8F">
        <w:tc>
          <w:tcPr>
            <w:tcW w:w="2300" w:type="dxa"/>
          </w:tcPr>
          <w:p w14:paraId="1768AD8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20B41C54" w:rsidR="00E225A1" w:rsidRPr="00B9797E" w:rsidRDefault="00FF7670" w:rsidP="00B9797E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Профессия адвоката является одной из ключевых в системе правосудия, требующей высокой квалификации и ответственности. Основные задачи адвоката заключаются в защите прав и законных интересов граждан или организаций в судебных процессах, консультировании по юридическим вопросам и представлении клиентов в различных инстанциях.</w:t>
            </w:r>
          </w:p>
        </w:tc>
      </w:tr>
      <w:tr w:rsidR="00E225A1" w:rsidRPr="00B9797E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9484FD3" w14:textId="1568BEB6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Аналитический ум: способность быстро анализировать большие объемы информации и выявлять ключевые моменты дела.</w:t>
            </w:r>
          </w:p>
          <w:p w14:paraId="062B1923" w14:textId="28697C1B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навыки: умение ясно и убедительно излагать свои мысли как устно, так и письменно.</w:t>
            </w:r>
          </w:p>
          <w:p w14:paraId="3E701221" w14:textId="71CAD6D2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Эмоциональная устойчивость: способность сохранять спокойствие и концентрацию в стрессовых ситуациях.</w:t>
            </w:r>
          </w:p>
          <w:p w14:paraId="6C746197" w14:textId="0DA02D47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Ответственность: высокая степень добросовестности и честности при выполнении профессиональных обязанностей.</w:t>
            </w:r>
          </w:p>
          <w:p w14:paraId="47D0C362" w14:textId="54F5C15A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Навыки ведения переговоров: умение находить компромиссы и договариваться с оппонентами.</w:t>
            </w:r>
          </w:p>
          <w:p w14:paraId="2EE4653D" w14:textId="73077B40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Гибкость мышления: готовность адаптироваться к меняющимся обстоятельствам и находить нестандартные решения.</w:t>
            </w:r>
          </w:p>
          <w:p w14:paraId="0B0C9873" w14:textId="01103320" w:rsidR="00FF7670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Внимание к деталям: скрупулезное отношение к мелочам, чтобы не упустить важные аспекты дела.</w:t>
            </w:r>
          </w:p>
          <w:p w14:paraId="198385A2" w14:textId="1BA9112D" w:rsidR="00E225A1" w:rsidRPr="00B9797E" w:rsidRDefault="00FF7670" w:rsidP="00B9797E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Способность к самообучению: постоянное обновление знаний в связи с изменениями законодательства и судебной практики.</w:t>
            </w:r>
          </w:p>
        </w:tc>
      </w:tr>
      <w:tr w:rsidR="00E225A1" w:rsidRPr="00B9797E" w14:paraId="37AB3B6D" w14:textId="7D236547" w:rsidTr="00345C8F">
        <w:tc>
          <w:tcPr>
            <w:tcW w:w="2300" w:type="dxa"/>
          </w:tcPr>
          <w:p w14:paraId="4264FF84" w14:textId="2CC0D5D6" w:rsidR="00E225A1" w:rsidRPr="00B9797E" w:rsidRDefault="00E225A1" w:rsidP="00B9797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40D96BE4" w14:textId="77777777" w:rsidR="00FF7670" w:rsidRPr="00B9797E" w:rsidRDefault="00FF7670" w:rsidP="00B9797E">
            <w:pPr>
              <w:pStyle w:val="af"/>
              <w:numPr>
                <w:ilvl w:val="0"/>
                <w:numId w:val="11"/>
              </w:numPr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история (для понимания правовых систем), </w:t>
            </w:r>
          </w:p>
          <w:p w14:paraId="700CDEA5" w14:textId="77777777" w:rsidR="00FF7670" w:rsidRPr="00B9797E" w:rsidRDefault="00FF7670" w:rsidP="00B9797E">
            <w:pPr>
              <w:pStyle w:val="af"/>
              <w:numPr>
                <w:ilvl w:val="0"/>
                <w:numId w:val="11"/>
              </w:numPr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обществознание (базовые знания о праве),</w:t>
            </w:r>
          </w:p>
          <w:p w14:paraId="38C65175" w14:textId="77777777" w:rsidR="00FF7670" w:rsidRPr="00B9797E" w:rsidRDefault="00FF7670" w:rsidP="00B9797E">
            <w:pPr>
              <w:pStyle w:val="af"/>
              <w:numPr>
                <w:ilvl w:val="0"/>
                <w:numId w:val="11"/>
              </w:numPr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русский язык (для грамотного составления документов),</w:t>
            </w:r>
          </w:p>
          <w:p w14:paraId="2B2FD68A" w14:textId="77777777" w:rsidR="00FF7670" w:rsidRPr="00B9797E" w:rsidRDefault="00FF7670" w:rsidP="00B9797E">
            <w:pPr>
              <w:pStyle w:val="af"/>
              <w:numPr>
                <w:ilvl w:val="0"/>
                <w:numId w:val="11"/>
              </w:numPr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иностранный язык для участия в международных проектах.</w:t>
            </w:r>
          </w:p>
          <w:p w14:paraId="65462839" w14:textId="77777777" w:rsidR="00FF7670" w:rsidRPr="00B9797E" w:rsidRDefault="00FF7670" w:rsidP="00FF767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могут быть полезны занятия по риторике и логике.</w:t>
            </w:r>
          </w:p>
          <w:p w14:paraId="51F14A94" w14:textId="202B86A7" w:rsidR="00E225A1" w:rsidRPr="00B9797E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B9797E" w14:paraId="6F2ABAED" w14:textId="20F3F304" w:rsidTr="00345C8F">
        <w:tc>
          <w:tcPr>
            <w:tcW w:w="2300" w:type="dxa"/>
          </w:tcPr>
          <w:p w14:paraId="1796E7C3" w14:textId="77777777" w:rsidR="00E225A1" w:rsidRPr="00B9797E" w:rsidRDefault="00E225A1" w:rsidP="00B9797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6C4358D5" w:rsidR="00E225A1" w:rsidRPr="00B9797E" w:rsidRDefault="00B9797E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EB3DF4F" wp14:editId="39DDED9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226695</wp:posOffset>
                  </wp:positionV>
                  <wp:extent cx="950595" cy="826770"/>
                  <wp:effectExtent l="0" t="0" r="190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4561D2D3" w14:textId="228EF8BF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МВД РБ </w:t>
            </w:r>
            <w:hyperlink r:id="rId7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https://www.amia.by/faculties/fakultet-prava</w:t>
              </w:r>
            </w:hyperlink>
          </w:p>
          <w:p w14:paraId="54E1C7E3" w14:textId="61E969A9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БГУ им</w:t>
            </w:r>
            <w:proofErr w:type="gram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А.С.  Пушкина </w:t>
            </w:r>
            <w:hyperlink r:id="rId8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https://www.brsu.by/yuridicheskij-fakultet</w:t>
              </w:r>
            </w:hyperlink>
          </w:p>
          <w:p w14:paraId="74BE2422" w14:textId="52877407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ВГУ им. </w:t>
            </w:r>
            <w:proofErr w:type="spell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П.Машерова</w:t>
            </w:r>
            <w:proofErr w:type="spell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, юридический факультет  </w:t>
            </w:r>
            <w:hyperlink r:id="rId9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https://vsu.by/universitet/fakultety/yuridicheskij.html</w:t>
              </w:r>
            </w:hyperlink>
          </w:p>
          <w:p w14:paraId="3D7D0FEF" w14:textId="317AFF25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ГГУ им. </w:t>
            </w:r>
            <w:proofErr w:type="spell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Я.Купалы</w:t>
            </w:r>
            <w:proofErr w:type="spell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, юридический факультет </w:t>
            </w:r>
            <w:hyperlink r:id="rId10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https://lf.grsu.by/</w:t>
              </w:r>
            </w:hyperlink>
          </w:p>
          <w:p w14:paraId="01D906BD" w14:textId="25C0011A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Академия управления при президенте РБ</w:t>
            </w:r>
            <w:proofErr w:type="gram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 факультет </w:t>
            </w:r>
            <w:hyperlink r:id="rId11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https://www.pac.by/intrant/vtoroe-vysshee/information-on-specialties2/public-administration-and-law/</w:t>
              </w:r>
            </w:hyperlink>
          </w:p>
          <w:p w14:paraId="55406781" w14:textId="51F7055B" w:rsidR="00E225A1" w:rsidRPr="00B9797E" w:rsidRDefault="00FF7670" w:rsidP="00B979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МГУ </w:t>
            </w:r>
            <w:proofErr w:type="spell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им.А.Кулешова</w:t>
            </w:r>
            <w:proofErr w:type="spellEnd"/>
            <w:proofErr w:type="gram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 факультет </w:t>
            </w:r>
            <w:hyperlink r:id="rId12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https://fep.msu.by/</w:t>
              </w:r>
            </w:hyperlink>
          </w:p>
          <w:p w14:paraId="22CFB354" w14:textId="0CCB1A64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sz w:val="28"/>
                <w:szCs w:val="28"/>
              </w:rPr>
              <w:t>Получить первоначальное юридическое образование возможно в колледжах:</w:t>
            </w:r>
          </w:p>
          <w:p w14:paraId="151F73D6" w14:textId="10D25663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Филиал БГЭУ “Минский торговый колледж” – правоведение </w:t>
            </w:r>
            <w:hyperlink r:id="rId13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https://bseumtc.by/</w:t>
              </w:r>
            </w:hyperlink>
          </w:p>
          <w:p w14:paraId="72AB95CE" w14:textId="7048C737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колледж БГУ </w:t>
            </w:r>
            <w:hyperlink r:id="rId14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http://www.lawcollege.bsu.by/students/graduates/8-about/74-spec.html</w:t>
              </w:r>
            </w:hyperlink>
          </w:p>
          <w:p w14:paraId="3B9F0176" w14:textId="330F6C1D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Колледж бизнеса и права </w:t>
            </w:r>
            <w:hyperlink r:id="rId15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https://kbp.by/</w:t>
              </w:r>
            </w:hyperlink>
          </w:p>
          <w:p w14:paraId="5E07EEFF" w14:textId="71B353FF" w:rsidR="00FF7670" w:rsidRPr="00B9797E" w:rsidRDefault="00FF7670" w:rsidP="00B9797E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аграрн</w:t>
            </w:r>
            <w:proofErr w:type="gramStart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9797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колледж </w:t>
            </w:r>
            <w:hyperlink r:id="rId16" w:history="1">
              <w:r w:rsidRPr="00B9797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http://bgaek.by/</w:t>
              </w:r>
            </w:hyperlink>
          </w:p>
          <w:p w14:paraId="49BE9AE6" w14:textId="07AA5813" w:rsidR="00FF7670" w:rsidRPr="00B9797E" w:rsidRDefault="00FF7670" w:rsidP="00B9797E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Для успешной карьеры адвоката необходимо получить высшее юридическое образование, пройти стажировку и сдать квалификационный экзамен, получить специальное разрешение (лицензию) на осуществление адвокатской деятельности и являться членом территориальной коллегии адвокатов.</w:t>
            </w:r>
          </w:p>
        </w:tc>
      </w:tr>
      <w:tr w:rsidR="00E225A1" w:rsidRPr="00B9797E" w14:paraId="462BFC61" w14:textId="0FEA93C8" w:rsidTr="00345C8F">
        <w:tc>
          <w:tcPr>
            <w:tcW w:w="2300" w:type="dxa"/>
          </w:tcPr>
          <w:p w14:paraId="6C591E95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A1436C8" w14:textId="0E121D72" w:rsidR="00E225A1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Представительство в суде</w:t>
            </w:r>
          </w:p>
          <w:p w14:paraId="486CB8A2" w14:textId="4585E155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</w:t>
            </w:r>
          </w:p>
          <w:p w14:paraId="45C38A99" w14:textId="3C2265ED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и анализ документов</w:t>
            </w:r>
          </w:p>
          <w:p w14:paraId="768D1D25" w14:textId="0EAD0C18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Медиация и переговоры</w:t>
            </w:r>
          </w:p>
          <w:p w14:paraId="700E01D6" w14:textId="1FB5A3C7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прав и законных интересов</w:t>
            </w:r>
          </w:p>
          <w:p w14:paraId="6B6445FB" w14:textId="1658BF78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правоохранительных органах</w:t>
            </w:r>
          </w:p>
          <w:p w14:paraId="699E93FB" w14:textId="65B61E95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Специализация</w:t>
            </w:r>
          </w:p>
          <w:p w14:paraId="35341861" w14:textId="1C38F23F" w:rsidR="009D1AA6" w:rsidRPr="00B9797E" w:rsidRDefault="009D1AA6" w:rsidP="00B9797E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деятельность </w:t>
            </w:r>
          </w:p>
        </w:tc>
      </w:tr>
      <w:tr w:rsidR="00E225A1" w:rsidRPr="00B9797E" w14:paraId="56AAF03E" w14:textId="526685D0" w:rsidTr="00345C8F">
        <w:tc>
          <w:tcPr>
            <w:tcW w:w="2300" w:type="dxa"/>
          </w:tcPr>
          <w:p w14:paraId="05C25DCE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3795739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1. Высокий уровень дохода: адвокаты часто получают достойную оплату за свою работу, особенно если они работают в крупных юридических фирмах или имеют успешную частную практику.</w:t>
            </w:r>
          </w:p>
          <w:p w14:paraId="11140EC2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2. Престиж: профессия адвоката пользуется уважением в обществе благодаря значимости выполняемых функций.</w:t>
            </w:r>
          </w:p>
          <w:p w14:paraId="4986F56D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3. Широкие возможности для профессионального роста: возможность развиваться в разных направлениях права и строить карьеру вплоть до судейских должностей.</w:t>
            </w:r>
          </w:p>
          <w:p w14:paraId="422852A8" w14:textId="5439ADDB" w:rsidR="00E225A1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4. Интересная работа: работа адвоката предполагает разнообразие задач и постоянное взаимодействие с людьми.</w:t>
            </w:r>
          </w:p>
        </w:tc>
      </w:tr>
      <w:tr w:rsidR="00E225A1" w:rsidRPr="00B9797E" w14:paraId="4A096292" w14:textId="49F1E72E" w:rsidTr="00345C8F">
        <w:tc>
          <w:tcPr>
            <w:tcW w:w="2300" w:type="dxa"/>
          </w:tcPr>
          <w:p w14:paraId="34A2D4A3" w14:textId="77777777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82B4BF0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1. Высокая ответственность: ошибки в работе могут привести к серьезным последствиям для клиента.</w:t>
            </w:r>
          </w:p>
          <w:p w14:paraId="000CF3DC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2. Стресс: частое пребывание в условиях стресса и давления со стороны клиентов и коллег.</w:t>
            </w:r>
          </w:p>
          <w:p w14:paraId="0BF3DED8" w14:textId="77777777" w:rsidR="00FF7670" w:rsidRPr="00B9797E" w:rsidRDefault="00FF7670" w:rsidP="00FF7670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3. Длительное обучение: получение юридического образования требует значительных временных затрат.</w:t>
            </w:r>
          </w:p>
          <w:p w14:paraId="603EAFEB" w14:textId="0F32858B" w:rsidR="00E225A1" w:rsidRPr="00B9797E" w:rsidRDefault="00FF7670" w:rsidP="00B9797E">
            <w:pPr>
              <w:pStyle w:val="af"/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sz w:val="28"/>
                <w:szCs w:val="28"/>
              </w:rPr>
              <w:t>4. Конкуренция: высокий уровень конкуренции на рынке труда может затруднить начало карьеры.</w:t>
            </w:r>
          </w:p>
        </w:tc>
      </w:tr>
      <w:tr w:rsidR="00E225A1" w:rsidRPr="00B9797E" w14:paraId="20925EA1" w14:textId="5D1B036F" w:rsidTr="009D1AA6">
        <w:trPr>
          <w:trHeight w:val="60"/>
        </w:trPr>
        <w:tc>
          <w:tcPr>
            <w:tcW w:w="2300" w:type="dxa"/>
          </w:tcPr>
          <w:p w14:paraId="78E3D77A" w14:textId="6B52689E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B9797E" w:rsidRDefault="00E225A1" w:rsidP="00B9797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6C0189E" w14:textId="0590DA0B" w:rsidR="0036404D" w:rsidRPr="006E7DA8" w:rsidRDefault="00B9797E" w:rsidP="00B9797E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797E">
              <w:rPr>
                <w:noProof/>
                <w:color w:val="C00000"/>
              </w:rPr>
              <w:drawing>
                <wp:anchor distT="0" distB="0" distL="114300" distR="114300" simplePos="0" relativeHeight="251658240" behindDoc="0" locked="0" layoutInCell="1" allowOverlap="1" wp14:anchorId="4B190EC7" wp14:editId="4CBC6C13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236855</wp:posOffset>
                  </wp:positionV>
                  <wp:extent cx="1336675" cy="138303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9D1AA6"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Мы-ваш</w:t>
            </w:r>
            <w:proofErr w:type="gramEnd"/>
            <w:r w:rsidR="009D1AA6" w:rsidRPr="00B9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юридический щит! Наша команда опытных адвокатов готова встать на защиту ваших интересов.</w:t>
            </w:r>
            <w:r w:rsidR="0036404D" w:rsidRPr="00B9797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C7DF4FF" w14:textId="30ECC00F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D1ABF" w14:textId="77777777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7F7D0" w14:textId="77777777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ACC04" w14:textId="77777777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18D32" w14:textId="77777777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FAAEA" w14:textId="5455F32C" w:rsidR="00B9797E" w:rsidRPr="006E7DA8" w:rsidRDefault="00B9797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B9797E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-5379"/>
        </w:tabs>
        <w:ind w:left="-53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659"/>
        </w:tabs>
        <w:ind w:left="-46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39"/>
        </w:tabs>
        <w:ind w:left="-3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219"/>
        </w:tabs>
        <w:ind w:left="-321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99"/>
        </w:tabs>
        <w:ind w:left="-24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79"/>
        </w:tabs>
        <w:ind w:left="-17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59"/>
        </w:tabs>
        <w:ind w:left="-10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39"/>
        </w:tabs>
        <w:ind w:left="-3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1"/>
        </w:tabs>
        <w:ind w:left="381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24D55"/>
    <w:multiLevelType w:val="hybridMultilevel"/>
    <w:tmpl w:val="EC843B0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2D012D20"/>
    <w:multiLevelType w:val="hybridMultilevel"/>
    <w:tmpl w:val="CD7E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00BB3"/>
    <w:multiLevelType w:val="hybridMultilevel"/>
    <w:tmpl w:val="23C45BD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045"/>
    <w:multiLevelType w:val="hybridMultilevel"/>
    <w:tmpl w:val="6CA8D568"/>
    <w:lvl w:ilvl="0" w:tplc="D6ECAA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074290"/>
    <w:multiLevelType w:val="hybridMultilevel"/>
    <w:tmpl w:val="8AB4A0D4"/>
    <w:lvl w:ilvl="0" w:tplc="0419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2">
    <w:nsid w:val="6E6850F5"/>
    <w:multiLevelType w:val="hybridMultilevel"/>
    <w:tmpl w:val="4DF66F68"/>
    <w:lvl w:ilvl="0" w:tplc="88CEEA2C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3F69F4"/>
    <w:multiLevelType w:val="hybridMultilevel"/>
    <w:tmpl w:val="1CFEB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13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C6BA0"/>
    <w:rsid w:val="00101246"/>
    <w:rsid w:val="00345C8F"/>
    <w:rsid w:val="0036404D"/>
    <w:rsid w:val="00466709"/>
    <w:rsid w:val="004B46AB"/>
    <w:rsid w:val="006E7DA8"/>
    <w:rsid w:val="009D1AA6"/>
    <w:rsid w:val="00B9797E"/>
    <w:rsid w:val="00BE622B"/>
    <w:rsid w:val="00C5320F"/>
    <w:rsid w:val="00CA7DB2"/>
    <w:rsid w:val="00E225A1"/>
    <w:rsid w:val="00E37A2E"/>
    <w:rsid w:val="00EA0203"/>
    <w:rsid w:val="00FC55C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F7670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B9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97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F7670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B9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97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su.by/yuridicheskij-fakultet" TargetMode="External"/><Relationship Id="rId13" Type="http://schemas.openxmlformats.org/officeDocument/2006/relationships/hyperlink" Target="https://bseumtc.b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mia.by/faculties/fakultet-prava" TargetMode="External"/><Relationship Id="rId12" Type="http://schemas.openxmlformats.org/officeDocument/2006/relationships/hyperlink" Target="https://fep.msu.by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bgaek.b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pac.by/intrant/vtoroe-vysshee/information-on-specialties2/public-administration-and-la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bp.by/" TargetMode="External"/><Relationship Id="rId10" Type="http://schemas.openxmlformats.org/officeDocument/2006/relationships/hyperlink" Target="https://lf.grsu.b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su.by/universitet/fakultety/yuridicheskij.html" TargetMode="External"/><Relationship Id="rId14" Type="http://schemas.openxmlformats.org/officeDocument/2006/relationships/hyperlink" Target="http://www.lawcollege.bsu.by/students/graduates/8-about/74-spe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5</cp:revision>
  <dcterms:created xsi:type="dcterms:W3CDTF">2025-04-01T08:31:00Z</dcterms:created>
  <dcterms:modified xsi:type="dcterms:W3CDTF">2025-04-05T20:10:00Z</dcterms:modified>
</cp:coreProperties>
</file>