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876"/>
      </w:tblGrid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95B51" w:rsidRDefault="00795B51" w:rsidP="00795B51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95B5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Что такое фольклор?</w:t>
            </w:r>
          </w:p>
          <w:p w:rsidR="00795B51" w:rsidRPr="00410636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636">
              <w:rPr>
                <w:rFonts w:ascii="Times New Roman" w:hAnsi="Times New Roman" w:cs="Times New Roman"/>
                <w:sz w:val="28"/>
                <w:szCs w:val="28"/>
              </w:rPr>
              <w:t xml:space="preserve">Слово фольклор – это английское слово, </w:t>
            </w:r>
            <w:r w:rsidR="00044D38">
              <w:rPr>
                <w:rFonts w:ascii="Times New Roman" w:hAnsi="Times New Roman" w:cs="Times New Roman"/>
                <w:sz w:val="28"/>
                <w:szCs w:val="28"/>
              </w:rPr>
              <w:t>сложенное из двух слов “</w:t>
            </w:r>
            <w:proofErr w:type="spellStart"/>
            <w:r w:rsidR="00044D38">
              <w:rPr>
                <w:rFonts w:ascii="Times New Roman" w:hAnsi="Times New Roman" w:cs="Times New Roman"/>
                <w:sz w:val="28"/>
                <w:szCs w:val="28"/>
              </w:rPr>
              <w:t>фольк</w:t>
            </w:r>
            <w:proofErr w:type="spellEnd"/>
            <w:proofErr w:type="gramStart"/>
            <w:r w:rsidR="00044D38">
              <w:rPr>
                <w:rFonts w:ascii="Times New Roman" w:hAnsi="Times New Roman" w:cs="Times New Roman"/>
                <w:sz w:val="28"/>
                <w:szCs w:val="28"/>
              </w:rPr>
              <w:t>”-</w:t>
            </w:r>
            <w:proofErr w:type="gramEnd"/>
            <w:r w:rsidR="00044D38">
              <w:rPr>
                <w:rFonts w:ascii="Times New Roman" w:hAnsi="Times New Roman" w:cs="Times New Roman"/>
                <w:sz w:val="28"/>
                <w:szCs w:val="28"/>
              </w:rPr>
              <w:t>народ, “</w:t>
            </w:r>
            <w:proofErr w:type="spellStart"/>
            <w:r w:rsidR="00044D38">
              <w:rPr>
                <w:rFonts w:ascii="Times New Roman" w:hAnsi="Times New Roman" w:cs="Times New Roman"/>
                <w:sz w:val="28"/>
                <w:szCs w:val="28"/>
              </w:rPr>
              <w:t>лор</w:t>
            </w:r>
            <w:proofErr w:type="spellEnd"/>
            <w:r w:rsidR="00044D38">
              <w:rPr>
                <w:rFonts w:ascii="Times New Roman" w:hAnsi="Times New Roman" w:cs="Times New Roman"/>
                <w:sz w:val="28"/>
                <w:szCs w:val="28"/>
              </w:rPr>
              <w:t>”-</w:t>
            </w:r>
            <w:r w:rsidRPr="00410636">
              <w:rPr>
                <w:rFonts w:ascii="Times New Roman" w:hAnsi="Times New Roman" w:cs="Times New Roman"/>
                <w:sz w:val="28"/>
                <w:szCs w:val="28"/>
              </w:rPr>
              <w:t xml:space="preserve"> учение.    Итак, фольклор – это народная мудрость. </w:t>
            </w:r>
          </w:p>
          <w:p w:rsidR="00795B51" w:rsidRDefault="00795B51" w:rsidP="00795B5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Слушая музыку, читая книги, мы хотим знать, кто их сочинил. Кто создал эти произведения? Фольклор не имеет автора. Это особое искусство – народные песни, танцы, легенды и сказки, обряды, поверья и т.д.  </w:t>
            </w:r>
          </w:p>
          <w:p w:rsidR="00795B51" w:rsidRDefault="00795B51" w:rsidP="00795B51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Pr="00410636" w:rsidRDefault="00795B51" w:rsidP="00795B51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Виды детского фольклора:</w:t>
            </w:r>
          </w:p>
          <w:p w:rsidR="00795B51" w:rsidRPr="00410636" w:rsidRDefault="00795B51" w:rsidP="00044D3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Песенный фольклор (колыбельные, </w:t>
            </w:r>
            <w:proofErr w:type="spellStart"/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попевки</w:t>
            </w:r>
            <w:proofErr w:type="spellEnd"/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пестушки</w:t>
            </w:r>
            <w:proofErr w:type="spellEnd"/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дразнилки и т. д.)</w:t>
            </w:r>
          </w:p>
          <w:p w:rsidR="00795B51" w:rsidRPr="00410636" w:rsidRDefault="00795B51" w:rsidP="00044D3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Игровой фольклор</w:t>
            </w:r>
          </w:p>
          <w:p w:rsidR="00795B51" w:rsidRPr="00410636" w:rsidRDefault="00795B51" w:rsidP="00044D3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Календарный фольклор (календарно- обрядовые праздники)</w:t>
            </w:r>
          </w:p>
          <w:p w:rsidR="00795B51" w:rsidRPr="00410636" w:rsidRDefault="00795B51" w:rsidP="00044D3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Танцевальный фольклор – хороводы, танцы.</w:t>
            </w:r>
          </w:p>
          <w:p w:rsidR="00795B51" w:rsidRDefault="00795B51" w:rsidP="00044D3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и игра на детских музыкальных народных инструментах (ложки, трещотки, бубны, свистульки и т. д.)</w:t>
            </w:r>
          </w:p>
          <w:p w:rsidR="00795B51" w:rsidRDefault="00044D38" w:rsidP="00044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3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05050" cy="628650"/>
                  <wp:effectExtent l="19050" t="0" r="0" b="0"/>
                  <wp:docPr id="9" name="Рисунок 10" descr="https://gas-kvas.com/uploads/posts/2023-01/1674526720_gas-kvas-com-p-uzor-narodnogo-ornamenta-risunok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s-kvas.com/uploads/posts/2023-01/1674526720_gas-kvas-com-p-uzor-narodnogo-ornamenta-risunok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888" cy="633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51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795B5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lastRenderedPageBreak/>
              <w:t>Колыбельные песни</w:t>
            </w:r>
          </w:p>
          <w:p w:rsidR="00795B51" w:rsidRPr="00260530" w:rsidRDefault="00795B51" w:rsidP="00795B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26053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Один из древнейших</w:t>
            </w:r>
            <w:r w:rsidRPr="00260530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hyperlink r:id="rId8" w:tooltip="Малые жанры фольклора" w:history="1">
              <w:r w:rsidRPr="0026053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жанров фольклора</w:t>
              </w:r>
            </w:hyperlink>
            <w:r w:rsidRPr="00260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26053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основном колыбельную поёт мать своему ребёнку.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   </w:t>
            </w:r>
            <w:r w:rsidRPr="0026053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данном жанре сохранились элементы заговора-оберега. Люди верили, что человека окружают таинственные враждебные силы, и если ребёнок увидит во сне что-то плохое, страшное, то наяву это уже не повторится. Вот почему в колыбельной можно найти «серенького волчка» и других пугающих персонажей. Позже колыбельные песни утрачивали магические элементы, приобретали значе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ние доброго пожелания</w:t>
            </w:r>
            <w:r w:rsidRPr="0026053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942975"/>
                  <wp:effectExtent l="209550" t="190500" r="228600" b="180975"/>
                  <wp:docPr id="8" name="Рисунок 7" descr="https://i.ytimg.com/vi/yXC1p4ANCq0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ytimg.com/vi/yXC1p4ANCq0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625" cy="945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Баю, баю, </w:t>
            </w: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Купим сыну валенки,</w:t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Наденем на ножки,</w:t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Пустим по дорожке.</w:t>
            </w:r>
          </w:p>
          <w:p w:rsidR="00795B51" w:rsidRPr="00260530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Будет мой сынок ходить,</w:t>
            </w: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Новы валенки носить.</w:t>
            </w:r>
          </w:p>
          <w:p w:rsidR="00795B51" w:rsidRP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795B5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Пестушки</w:t>
            </w:r>
            <w:proofErr w:type="spellEnd"/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Пестушка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 – это еще один жанр устного народного творчества, предназначенный для самых маленьких детей. </w:t>
            </w: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Пестушка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 – небольшой стишок или песенка, понятная и интересная для ребенка. </w:t>
            </w:r>
          </w:p>
          <w:p w:rsidR="00795B51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Pr="00E37209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Потянись дружок,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Повернись на бочок,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 животик повернись,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Нежно маме улыбнись.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Я по спинке пройду,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Хворобушку</w:t>
            </w:r>
            <w:proofErr w:type="spellEnd"/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отведу,</w:t>
            </w:r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Расти ладненький</w:t>
            </w:r>
            <w:proofErr w:type="gramStart"/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</w:t>
            </w:r>
            <w:proofErr w:type="gramEnd"/>
            <w:r w:rsidRPr="00E372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здоровенький.</w:t>
            </w: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 Вот проснулись! Потянулись!</w:t>
            </w:r>
            <w:r w:rsidRPr="00260530">
              <w:rPr>
                <w:rFonts w:ascii="Times New Roman" w:hAnsi="Times New Roman" w:cs="Times New Roman"/>
                <w:sz w:val="28"/>
                <w:szCs w:val="28"/>
              </w:rPr>
              <w:br/>
              <w:t>С боку на бок повернулись!</w:t>
            </w:r>
            <w:r w:rsidRPr="002605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Потягушечки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Потягушечки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2605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Где игрушечки, </w:t>
            </w:r>
            <w:proofErr w:type="spellStart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погремушечки</w:t>
            </w:r>
            <w:proofErr w:type="spellEnd"/>
            <w:r w:rsidRPr="002605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60530">
              <w:rPr>
                <w:rFonts w:ascii="Times New Roman" w:hAnsi="Times New Roman" w:cs="Times New Roman"/>
                <w:sz w:val="28"/>
                <w:szCs w:val="28"/>
              </w:rPr>
              <w:br/>
              <w:t>Ты, игрушка, погреми,</w:t>
            </w:r>
            <w:r w:rsidRPr="00260530">
              <w:rPr>
                <w:rFonts w:ascii="Times New Roman" w:hAnsi="Times New Roman" w:cs="Times New Roman"/>
                <w:sz w:val="28"/>
                <w:szCs w:val="28"/>
              </w:rPr>
              <w:br/>
              <w:t>Нашу детку подними!</w:t>
            </w: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745491</wp:posOffset>
                  </wp:positionH>
                  <wp:positionV relativeFrom="paragraph">
                    <wp:posOffset>64135</wp:posOffset>
                  </wp:positionV>
                  <wp:extent cx="1466850" cy="1400175"/>
                  <wp:effectExtent l="228600" t="190500" r="228600" b="180975"/>
                  <wp:wrapNone/>
                  <wp:docPr id="4" name="Рисунок 1" descr="C:\Documents and Settings\Виктор\Рабочий стол\01lab9nst12168400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Documents and Settings\Виктор\Рабочий стол\01lab9nst1216840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7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001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51" w:rsidRDefault="00795B51" w:rsidP="002605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2605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95B51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795B5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Потешки</w:t>
            </w:r>
            <w:proofErr w:type="spellEnd"/>
          </w:p>
          <w:p w:rsidR="00795B51" w:rsidRPr="00C93032" w:rsidRDefault="00795B51" w:rsidP="00795B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795B51" w:rsidRPr="00C93032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0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proofErr w:type="spellStart"/>
            <w:r w:rsidRPr="00C93032">
              <w:rPr>
                <w:rFonts w:ascii="Times New Roman" w:hAnsi="Times New Roman" w:cs="Times New Roman"/>
                <w:bCs/>
                <w:sz w:val="28"/>
                <w:szCs w:val="28"/>
              </w:rPr>
              <w:t>Потешки</w:t>
            </w:r>
            <w:proofErr w:type="spellEnd"/>
            <w:r w:rsidRPr="00C930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032">
              <w:rPr>
                <w:rFonts w:ascii="Times New Roman" w:hAnsi="Times New Roman" w:cs="Times New Roman"/>
                <w:sz w:val="28"/>
                <w:szCs w:val="28"/>
              </w:rPr>
              <w:t>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      </w:r>
          </w:p>
          <w:p w:rsidR="00795B51" w:rsidRPr="00C93032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032">
              <w:rPr>
                <w:rFonts w:ascii="Times New Roman" w:hAnsi="Times New Roman" w:cs="Times New Roman"/>
                <w:sz w:val="28"/>
                <w:szCs w:val="28"/>
              </w:rPr>
              <w:t xml:space="preserve">        Для детей второго и третьего года жизни </w:t>
            </w:r>
            <w:proofErr w:type="spellStart"/>
            <w:r w:rsidRPr="00C9303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93032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использовать в качестве утешения или развлечения.</w:t>
            </w:r>
          </w:p>
          <w:p w:rsidR="00795B51" w:rsidRPr="00E37209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мне ручки подай,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Да с кровати вставай,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Умываться пойдем,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Где водичка найдем!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Здравствуй, Настенька!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Здравствуй, солнышко!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Как цветочек мой спал?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Как по маме скучал?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Сейчас на ручки возьму,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Прямо к сердцу прижму!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Поцелую, обниму!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небу дочку подниму.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Поставлю на пятки</w:t>
            </w:r>
            <w:r w:rsidRPr="00E372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Прямо у кроватки.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5050" cy="628650"/>
                  <wp:effectExtent l="19050" t="0" r="0" b="0"/>
                  <wp:docPr id="10" name="Рисунок 10" descr="https://gas-kvas.com/uploads/posts/2023-01/1674526720_gas-kvas-com-p-uzor-narodnogo-ornamenta-risunok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s-kvas.com/uploads/posts/2023-01/1674526720_gas-kvas-com-p-uzor-narodnogo-ornamenta-risunok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888" cy="633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51" w:rsidRDefault="00795B51" w:rsidP="00260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795B51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lastRenderedPageBreak/>
              <w:t>Прибаутки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Прибаутками называют смешное сочетание слов, которое не обязательно несет в себе определенный смысл. Это жанр фольклора, который очень часто используется с целью придания основным словам шуточный характер.</w:t>
            </w:r>
          </w:p>
          <w:p w:rsidR="00795B51" w:rsidRDefault="00795B51" w:rsidP="00795B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Pr="00C93032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бака на кухне пироги печет.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Кот в углу </w:t>
            </w:r>
            <w:proofErr w:type="spellStart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суха</w:t>
            </w:r>
            <w:proofErr w:type="gramStart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</w:t>
            </w:r>
            <w:proofErr w:type="gramEnd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spellEnd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толчет.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Кошка в окошке платье шьет.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Курочка в сапожках избушку метет.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</w:p>
          <w:p w:rsidR="00795B51" w:rsidRP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Шило солнышко рубашку,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Был и месяц за </w:t>
            </w:r>
            <w:proofErr w:type="gramStart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портняжку</w:t>
            </w:r>
            <w:proofErr w:type="gramEnd"/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Ветерок обновку взял –</w:t>
            </w: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Пастушатам передал.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172085</wp:posOffset>
                  </wp:positionV>
                  <wp:extent cx="2016125" cy="2438400"/>
                  <wp:effectExtent l="190500" t="190500" r="231775" b="171450"/>
                  <wp:wrapNone/>
                  <wp:docPr id="5" name="Рисунок 1" descr="C:\Documents and Settings\Виктор\Рабочий стол\russkie_narodnie_pogovorki_v_risunkax_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Documents and Settings\Виктор\Рабочий стол\russkie_narodnie_pogovorki_v_risunkax_09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/>
                          <a:srcRect l="4833" t="4103" r="4213" b="4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24384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260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51" w:rsidTr="00795B51">
        <w:tc>
          <w:tcPr>
            <w:tcW w:w="4876" w:type="dxa"/>
            <w:tcBorders>
              <w:top w:val="threeDEngrave" w:sz="24" w:space="0" w:color="FF0000"/>
              <w:left w:val="threeDEngrave" w:sz="24" w:space="0" w:color="FF0000"/>
              <w:bottom w:val="threeDEngrave" w:sz="24" w:space="0" w:color="FF0000"/>
              <w:right w:val="threeDEngrave" w:sz="24" w:space="0" w:color="FF0000"/>
            </w:tcBorders>
          </w:tcPr>
          <w:p w:rsidR="00795B51" w:rsidRPr="007A22D3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7A22D3"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  <w:lastRenderedPageBreak/>
              <w:t>Буклет</w:t>
            </w:r>
          </w:p>
          <w:p w:rsidR="00795B51" w:rsidRPr="005D62D7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  <w:lang w:eastAsia="ru-RU"/>
              </w:rPr>
            </w:pPr>
            <w:r w:rsidRPr="005D62D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Использование фольклора при работе с детьми раннего возраста</w:t>
            </w:r>
            <w:r w:rsidRPr="005D62D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»</w:t>
            </w:r>
          </w:p>
          <w:p w:rsidR="00795B51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B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695575" cy="3228975"/>
                  <wp:effectExtent l="228600" t="190500" r="238125" b="180975"/>
                  <wp:docPr id="6" name="Рисунок 2" descr="C:\Documents and Settings\Виктор\Рабочий стол\1349983974_ubel3d6yl7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C:\Documents and Settings\Виктор\Рабочий стол\1349983974_ubel3d6yl7a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 l="4987" t="5682" r="4369" b="4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32289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1 КК</w:t>
            </w:r>
          </w:p>
          <w:p w:rsid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МОАУ «СОШ № 52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рска»</w:t>
            </w:r>
          </w:p>
          <w:p w:rsidR="00795B51" w:rsidRP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proofErr w:type="spellStart"/>
            <w:r w:rsidRPr="00795B5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Каипкулова</w:t>
            </w:r>
            <w:proofErr w:type="spellEnd"/>
            <w:r w:rsidRPr="00795B5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 Наталья </w:t>
            </w:r>
            <w:proofErr w:type="spellStart"/>
            <w:r w:rsidRPr="00795B51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Миневалеевна</w:t>
            </w:r>
            <w:proofErr w:type="spellEnd"/>
          </w:p>
          <w:p w:rsidR="00795B51" w:rsidRP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</w:p>
          <w:p w:rsidR="00795B51" w:rsidRPr="00795B51" w:rsidRDefault="00795B51" w:rsidP="00795B5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5D62D7" w:rsidRDefault="005D62D7" w:rsidP="00795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D62D7" w:rsidSect="00795B51">
      <w:pgSz w:w="16838" w:h="11906" w:orient="landscape"/>
      <w:pgMar w:top="720" w:right="720" w:bottom="426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E47" w:rsidRDefault="00610E47" w:rsidP="00C93032">
      <w:pPr>
        <w:spacing w:after="0" w:line="240" w:lineRule="auto"/>
      </w:pPr>
      <w:r>
        <w:separator/>
      </w:r>
    </w:p>
  </w:endnote>
  <w:endnote w:type="continuationSeparator" w:id="1">
    <w:p w:rsidR="00610E47" w:rsidRDefault="00610E47" w:rsidP="00C9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E47" w:rsidRDefault="00610E47" w:rsidP="00C93032">
      <w:pPr>
        <w:spacing w:after="0" w:line="240" w:lineRule="auto"/>
      </w:pPr>
      <w:r>
        <w:separator/>
      </w:r>
    </w:p>
  </w:footnote>
  <w:footnote w:type="continuationSeparator" w:id="1">
    <w:p w:rsidR="00610E47" w:rsidRDefault="00610E47" w:rsidP="00C9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790D"/>
    <w:multiLevelType w:val="hybridMultilevel"/>
    <w:tmpl w:val="91DC3B7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649"/>
    <w:rsid w:val="00044D38"/>
    <w:rsid w:val="001932B6"/>
    <w:rsid w:val="00260530"/>
    <w:rsid w:val="00410636"/>
    <w:rsid w:val="00545953"/>
    <w:rsid w:val="005A1890"/>
    <w:rsid w:val="005D62D7"/>
    <w:rsid w:val="00610E47"/>
    <w:rsid w:val="00654639"/>
    <w:rsid w:val="00795B51"/>
    <w:rsid w:val="007A22D3"/>
    <w:rsid w:val="00A07CCD"/>
    <w:rsid w:val="00C93032"/>
    <w:rsid w:val="00D57A5C"/>
    <w:rsid w:val="00F9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6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60530"/>
  </w:style>
  <w:style w:type="character" w:styleId="a4">
    <w:name w:val="Hyperlink"/>
    <w:basedOn w:val="a0"/>
    <w:uiPriority w:val="99"/>
    <w:semiHidden/>
    <w:unhideWhenUsed/>
    <w:rsid w:val="002605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5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3032"/>
  </w:style>
  <w:style w:type="paragraph" w:styleId="a9">
    <w:name w:val="footer"/>
    <w:basedOn w:val="a"/>
    <w:link w:val="aa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3032"/>
  </w:style>
  <w:style w:type="table" w:styleId="ab">
    <w:name w:val="Table Grid"/>
    <w:basedOn w:val="a1"/>
    <w:uiPriority w:val="59"/>
    <w:rsid w:val="00795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B%D1%8B%D0%B5_%D0%B6%D0%B0%D0%BD%D1%80%D1%8B_%D1%84%D0%BE%D0%BB%D1%8C%D0%BA%D0%BB%D0%BE%D1%80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Воронцова</cp:lastModifiedBy>
  <cp:revision>3</cp:revision>
  <dcterms:created xsi:type="dcterms:W3CDTF">2023-08-17T08:10:00Z</dcterms:created>
  <dcterms:modified xsi:type="dcterms:W3CDTF">2023-08-17T08:11:00Z</dcterms:modified>
</cp:coreProperties>
</file>