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284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ТЕМА: РАЗВИТИЕ ГОРОДОВ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урока: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изучение развития городов на территории Беларуси 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личностного развития учащихся: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образовательная: определения понятий магдебургское право, магистрат, ратуша, мещане, местечко, годы получения магдебургского права городами Вильно, Брест, Полоцк и Минск; ремесла, которым принадлежала главная роль в белорусских городах XV в.;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развивающая: способствовать развитию умений раскрывать содержание исторических понятий, сравнивать исторические явления по заданным критериям и устанавливать причинно-следственные связи между ними;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воспитательная: способствовать воспитанию у учащихся чства трудолюбия, а также познавательного интереса к прошлому своего края.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 урока — комбинированный.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понятия: город, местечко, торг, цех, магдебургское право, магистрат, лава, войт, бурмистр, рада.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Примерный ход урока: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Проверку домашнего задания можно провести в форме беседы с использованием следующих вопросов и заданий: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Какие сословия существовали в Великом Княжестве Литовском?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Охарактеризуйте занятия и положение крестьян различных групп. Подумайте, какая из перечисленных групп крестьян была наиболее многочисленной в XIV—XV вв.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Опишите хозяйство крестьянской семьи.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Объясните, что такое крепостное право. Согласны ли вы, что привилей и Судебник Казимира защищали интересы феодалов, а крестьян ставили в зависимое положение?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Соотнесите названия феодалов Великого Княжества Литовского с их определениями и объясните, каким образом каждый из них получал земли во владение. шляхта феодалы на государственной службе паны рыцари, несущие военную службу князья родовая титулованная знать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Какое сословие имело больше прав, а какое — обязанностей? Какие противоречия существовали в государстве в связи с этим?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Заслушайте подготовленные дома рассказы «Один день из жизни крестьянина».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Как называли горожан в Великом Княжестве Литовском? Почему в XV в. данное сословие только начинало свое формирование?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Последний вопрос станет логичным переходом к изучению новой темы. Учитель отмечает, что развитие городов и мещанское сословие с конца XIV — XV в. начинают играть серьезную роль в экономической жизни страны. Имея много общего с западноевропейскими городами, города ВКЛ приобрели свои отличительные черты, сохранявшиеся на протяжении многих столетий.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первого пункта «Рост городов и их населения» учитель объясняет, опираясь на внутрипредметные связи, при помощи следующей логической цепочки: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Прекращение военных действий  -  Повышение спроса на с /х с  - Тевтонским Орденом товары в Западной Европе - Налаживание внешней торговли - Увеличение численности городов и городского населения - Укрепление внутренних связей между городом и деревней.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Сравнение планировок более древних и молодых средневековых городов учитель приводит в виде слайдов презентации или меловых схем (см. рис. 15), с помощью которых можно определить главное предназначение белорусских городов в разные периоды их возникновения: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column">
              <wp:posOffset>1765935</wp:posOffset>
            </wp:positionH>
            <wp:positionV relativeFrom="paragraph">
              <wp:posOffset>146050</wp:posOffset>
            </wp:positionV>
            <wp:extent cx="3505200" cy="17392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val="SMDATA_16_HxcR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A0AAIYQAACADQAAIQw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AKIAAAAAAAAAAAAAAAAAAAIAAADdCgAAAAAAAAIAAADmAAAAkBUAALMKAAAAAAAAFA0AAFU2AAAoAAAACAAAAAEAAAABAAAA"/>
                        </a:ext>
                      </a:extLst>
                    </pic:cNvPicPr>
                  </pic:nvPicPr>
                  <pic:blipFill>
                    <a:blip r:embed="rId7"/>
                    <a:srcRect l="35240" t="42300" r="34560" b="3105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392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15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Сравнение планировок городов приводит учащихся к выводу о том, что если ранее города носили скорее оборонительный характер, то теперь их главное предназначение заключалось в развитии торговли и ремесленного производства.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Ремесленное производство требовало обмена и тесной связи города и деревни, для чего существовали торги (рынки). Вокруг таких торгов возникали местечки, которые имели черты как города, так и деревни: 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811530</wp:posOffset>
            </wp:positionH>
            <wp:positionV relativeFrom="paragraph">
              <wp:posOffset>11430</wp:posOffset>
            </wp:positionV>
            <wp:extent cx="4459605" cy="6705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  <a:extLst>
                        <a:ext uri="smNativeData">
                          <sm:smNativeData xmlns:sm="smNativeData" val="SMDATA_16_HxcR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fw0AAOQgAADJDAAAwQI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kAAAAAKIAAAAAAAAAAAAAAAAAAAIAAAD+BAAAAAAAAAIAAAASAAAAbxsAACAEAAABAAAANQcAAMMMAAAoAAAACAAAAAEAAAABAAAA"/>
                        </a:ext>
                      </a:extLst>
                    </pic:cNvPicPr>
                  </pic:nvPicPr>
                  <pic:blipFill>
                    <a:blip r:embed="rId8"/>
                    <a:srcRect l="34550" t="84200" r="32730" b="7050"/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6705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XV в. становится началом расцвета городом и торговли, что значительно укрепило экономическое положение ВЮІ.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материал пункта «Возрастание роли ремесел и торгоили» изучается следующим образом: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Усиление специализации ремесленников и объединение их в цехи объясняется учителем через установление межпредметных связей с курсом всемирной истории.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Экспорт и импорт товаров, которые осуществлялись Великим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Княжеством Литовским, изучается через комментирование учащимися схемы на с. 111, высказывание предположений, с какими странами ВКЛ вело торговлю и какие речные пути для этого использовались (с опорой на карту).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Раскрытие двух указанных выше причинно-следственных связей позволит учащимся сформировать представление о развитии внутренней торговли в государстве: рост торговли между городом и деревней способствовал переводу крестьян на чинш; налаживание торговых связей между городами привело к возникновению корчем.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Знакомство учащихся с получением городами Великого Княжества Литовского магдебургского права начинается с изучения документа «Из привилея городу Менску» (1499 г.) на с. 114, после чего учащиеся отвечают на вопросы: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Что такое магдебургское (немецкое) право? Какие особые привилегии оно давало городскому населению?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Какое право — литовское и русское или немецкое — было более выгодно городам?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Как вы думаете, все ли города в государстве были переведены на магдебургское право? За какие заслуги его можно было получить?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С какой целью, исходя из документа, давалось магдебургское право? Соответствовало ли данное утверждение реальности?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работы с историческим документом учащиеся записывают определение понятия магдебургское право в тетради. Учитель называет первые города Великого Княжества Литовского, получившие право на самоуправление и знакомит их с системой внутреннего самоуправления городов, опираясь на схему на с. 113. Органы власти — лава во главе с войтом, бурмистр и радцы — заседали в ратуше, которая становилась символом свободного города. Учащиеся могут вспомнить, видели ли они в каких-либо белорусских городах здание (чаще всего восстановленное) ратуши, и сделать из этого соответствующие выводы.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Отметить важную роль городов в жизни ВКЛ позволит самостоятельное изучение учащимися пункта «Историческая роль городов» и составление его простого плана. После чего они должны охарактеризовать города как центры торговли, культуры, управления и защиты населения.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первичного закрепления нового учебного материала можно предложить учащимся сыграть в игру «Верно — неверно». Необходимо подтвердить или опровергнуть истинность следующих высказываний: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Местные рынки в Великом Княжестве Литовском называли базарами. (Неверно: не базары, а торги.)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Основной экспорт ВКЛ составляли ремесленные товары. (Неверно: не ремесленные, а сельскохозяйственные товары)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В связи с развитием торговли и товарно-денежных отношении все большее распространение получала барщина. (Неверно: не барщина, а чинш.)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Небольшие городские поселения с торгово-ремесленным поселением назывались местечками. (Верно.)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В XV в. на белорусских землях начали появляться ремесленные мастерские, которые назывались цехами. (Неверно: цех — это объединение ремесленников одной специальности.)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Управлением города с магдебургским правом занималась рада во главе с бурмистром. (Верно.)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Вильно стал первым городом ВКЛ, которому великий князь Гедимин выдал привилей на самоуправление. (Неверно: не Гедимин, а Ягайло в 1387 г.)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Появление и развитие городов стало результатом отделения ремесла от сельского хозяйства. (Верно.)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Содержательная рефлексия по данной теме может быть представлена в виде составления синквейна на тему «Город» или «Магдебургское право».</w:t>
      </w:r>
    </w:p>
    <w:p>
      <w:pPr>
        <w:ind w:firstLine="284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Домашнее задание: § 12; задание для учащихся, интересующихся историей: придумать и нарисовать гербы цехов, которые могли существовать в городах ВКЛ, подготовить их описание.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567" w:top="567" w:right="850" w:bottom="709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5950495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/>
  <cp:revision>2</cp:revision>
  <cp:lastPrinted>2023-04-26T04:26:00Z</cp:lastPrinted>
  <dcterms:created xsi:type="dcterms:W3CDTF">2023-04-26T04:14:00Z</dcterms:created>
  <dcterms:modified xsi:type="dcterms:W3CDTF">2025-04-29T18:14:55Z</dcterms:modified>
</cp:coreProperties>
</file>