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кл.Опрос по теме 2 “Политическое положение ВКЛ”,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2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1.( 1-2 б.)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Имя исторического деятеля, который с 1501 г.  одновременно занимал должности великого князя литовского и короля польского: а) Александр, б) Казимир, в) Сигизмунд I Старый, г) Сигизмунд II Август.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2.( 3-4 б.)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Установите соответствие событий, имевших место в войнах ВКЛ с Московским княжеством в первой половине XVI в.: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Война 1500 - 1503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А) Битва под Оршей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Война 1507 - 1508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Б) ВКЛ вернуло Гомель с прилегающей к нему территорией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3.Война 1512 - 1522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В) Битва на реке Ведроша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Война 1534 - 1537 гг.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Г) Совпала с мятежом Михаила Глинского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( 5-6 б.) Объясните,  почему с 1501 г. ВКЛ и Польша находились в личной унии и к каким противоречиям эта уния приводила.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( 7-8 б.) Выясните, чем мятеж князя М. Глинского против Сигизмунда I  Старого был опасен для ВКЛ.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( 9-10 б.) 1.В чем заключались исторические уроки мятежа М. Глинского, которые вынес для себя Сигизмунд I старый? Свое мнение подтвердите с помощью исторических фактов.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Определите год, место и значение исторического события, изображенного на схеме: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214938" cy="37509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4938" cy="3750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