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4" w:name="_GoBack"/>
      <w:bookmarkEnd w:id="4"/>
      <w:r>
        <w:rPr>
          <w:b/>
          <w:sz w:val="28"/>
          <w:szCs w:val="28"/>
        </w:rPr>
        <w:t>Технологическая карта урока</w:t>
      </w:r>
    </w:p>
    <w:p>
      <w:pPr>
        <w:pStyle w:val="12"/>
        <w:tabs>
          <w:tab w:val="left" w:pos="930"/>
        </w:tabs>
        <w:spacing w:before="0" w:beforeAutospacing="0" w:after="0" w:afterAutospacing="0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drawing>
          <wp:inline distT="0" distB="0" distL="114300" distR="114300">
            <wp:extent cx="8134985" cy="5965190"/>
            <wp:effectExtent l="0" t="0" r="18415" b="16510"/>
            <wp:docPr id="1" name="Изображение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Новый рисуно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985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15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544"/>
        <w:gridCol w:w="4961"/>
        <w:gridCol w:w="4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hd w:val="clear" w:color="auto" w:fill="FFFFFF"/>
                <w:lang w:eastAsia="en-US"/>
              </w:rPr>
              <w:t>Виды работ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hd w:val="clear" w:color="auto" w:fill="FFFFFF"/>
                <w:lang w:eastAsia="en-US"/>
              </w:rPr>
              <w:t>Этапы урока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b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hd w:val="clear" w:color="auto" w:fill="FFFFFF"/>
                <w:lang w:eastAsia="en-US"/>
              </w:rPr>
              <w:t>Используемый материал, интернет-ресурсы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Подготови–тельная самостоятельная домашняя работа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Самостоятельное изучение материала 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b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bCs/>
                <w:u w:val="single"/>
                <w:shd w:val="clear" w:color="auto" w:fill="FFFFFF"/>
                <w:lang w:eastAsia="en-US"/>
              </w:rPr>
              <w:t>Контент МЭО:</w:t>
            </w:r>
            <w:r>
              <w:rPr>
                <w:rFonts w:eastAsia="Calibri"/>
                <w:b/>
                <w:bCs/>
                <w:shd w:val="clear" w:color="auto" w:fill="FFFFFF"/>
                <w:lang w:eastAsia="en-US"/>
              </w:rPr>
              <w:t xml:space="preserve"> Алгебра и начала математического анализа (углубленный уровень), 10 класс: Занятие 3: Понятие угла и тригонометрические формулы, Интернет-урок 4: Формулы для двойных и половинных углов 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"https://edu.mob-edu.ru/ui/" \l "/bookshelf/course/3491722/topic/3491740/lesson/3491747"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https://edu.mob-edu.ru/ui/#/bookshelf/course/3491722/topic/3491740/lesson/3491747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val="en-US"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или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Обучающий ролик «Формулы двойного аргумента. Формулы понижения степени»  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instrText xml:space="preserve"> HYPERLINK "https://youtu.be/26SLfWxqWpg" </w:instrTex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b/>
                <w:shd w:val="clear" w:color="auto" w:fill="FFFFFF"/>
                <w:lang w:eastAsia="en-US"/>
              </w:rPr>
              <w:t>https://youtu.be/26SLfWxqWpg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       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1. Знакомимся с выводом формул двойного аргумента и формул понижения степени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2. Изучаем формулы двойного аргумента и формулы понижения степени</w:t>
            </w:r>
          </w:p>
          <w:p>
            <w:pPr>
              <w:pStyle w:val="12"/>
              <w:tabs>
                <w:tab w:val="left" w:pos="930"/>
              </w:tabs>
              <w:spacing w:before="0" w:beforeAutospacing="0" w:after="0" w:afterAutospacing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3. Знакомимся с практическим применением формул двойного аргумента и формул понижения степени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restart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Фронтальная работа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1.  Постановка целей урока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С начала урока каждый учащийся по ссылке  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"https://www.zeetings.com/KTV/0008-8581-0020#page"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https://www.zeeti</w:t>
            </w:r>
            <w:bookmarkStart w:id="0" w:name="_Hlt33991409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n</w:t>
            </w:r>
            <w:bookmarkEnd w:id="0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gs.com/KTV/0008-8581-0020#page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начинает работать на ноутбуках с 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"https://www.zeetings.com/KTV/0008-8581-0020" \l "page"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интерактивной презентацией «Формулы двойного аргумента. Формулы понижения степе</w:t>
            </w:r>
            <w:bookmarkStart w:id="1" w:name="_Hlt33990924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н</w:t>
            </w:r>
            <w:bookmarkEnd w:id="1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и»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>, на слайдах которой отражены все этапы и задания урока.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hd w:val="clear" w:color="auto" w:fill="FFFFFF"/>
                <w:lang w:eastAsia="en-US"/>
              </w:rPr>
              <w:t>Работа с ключевым вопросом: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Для изготовления кольца на прямоугольную пластину из серебра задумано поместить бриллиант в форме прямоугольного треугольника. Дизайнерами принято решение разместить его под углом к стороне пластины, равным ближайшему острому углу треугольника. Для расчёта стоимости такого брильянта важно знать его размеры. Серебряная пластина имеет размеры 33 см высоту и 22 см в ширину. Рассчитайте размеры брильянта. (Слайд 2)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val="en-US" w:eastAsia="en-US"/>
              </w:rPr>
            </w:pPr>
            <w:r>
              <w:rPr>
                <w:lang w:eastAsia="ar-SA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drawing>
                <wp:inline distT="0" distB="0" distL="114300" distR="114300">
                  <wp:extent cx="1739265" cy="1305560"/>
                  <wp:effectExtent l="0" t="0" r="0" b="0"/>
                  <wp:docPr id="2" name="Изображение 2" descr="ALG_10_3_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ALG_10_3_4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265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2. Рассмотрение примеров практического применения изучаемых формул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(Слайды 3–9)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3. Актуализация знаний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Игра на 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"https://learningapps.org/watch?v=psnowpqhc20"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первичное закрепление по теме: «Форму</w:t>
            </w:r>
            <w:bookmarkStart w:id="2" w:name="_Hlt33991193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л</w:t>
            </w:r>
            <w:bookmarkEnd w:id="2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ы двойного аргумента»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(Слайд 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restart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Групповая работа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Группа "Теоретики"</w:t>
            </w:r>
          </w:p>
        </w:tc>
        <w:tc>
          <w:tcPr>
            <w:tcW w:w="496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Группа "Практики"</w:t>
            </w:r>
          </w:p>
        </w:tc>
        <w:tc>
          <w:tcPr>
            <w:tcW w:w="4795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Группа "Созидатели"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Учащиеся, способные хорошо систематизировать информацию, применять полученные знания для доказательства более сложных тригонометрических формул.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(Слайд 12)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Учащиеся самостоятельно доказывают следующие формулы и результаты оформляют в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Google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документах.</w:t>
            </w:r>
            <w:r>
              <w:rPr>
                <w:lang/>
              </w:rPr>
              <w:drawing>
                <wp:inline distT="0" distB="0" distL="114300" distR="114300">
                  <wp:extent cx="2011045" cy="2726690"/>
                  <wp:effectExtent l="0" t="0" r="8255" b="1651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272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Учащиеся с ярко выраженным интересом к практико-ориентированным заданиям.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(Слайд 13–14)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"https://www.learnis.ru/219007/"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Квест-комната с 5 заданиями по теме «Формулы двойного аргумента»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 (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"https://www.learnis.ru/219007/"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https://www.learnis.ru/219007/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>)</w:t>
            </w:r>
          </w:p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Суть квест-комнаты состоит в следующем: необходимо покинуть комнату, определив её код. Код – это ответы к пяти заданиям, записанные в порядке их нумерации.  </w:t>
            </w:r>
          </w:p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Учащиеся проходят квест-комнату и решения заданий оформляют в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Google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документах.</w:t>
            </w:r>
          </w:p>
        </w:tc>
        <w:tc>
          <w:tcPr>
            <w:tcW w:w="4795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Учащиеся с ярко выраженным интересом к практико-ориентированным заданиям, а также творческим подходом.</w:t>
            </w:r>
          </w:p>
          <w:p>
            <w:pPr>
              <w:pStyle w:val="12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(Слайд 15)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Учащиеся в сервисе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LearningApps</w:t>
            </w:r>
            <w:r>
              <w:rPr>
                <w:rFonts w:eastAsia="Calibri"/>
                <w:shd w:val="clear" w:color="auto" w:fill="FFFFFF"/>
                <w:lang w:eastAsia="en-US"/>
              </w:rPr>
              <w:t>.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org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создают задание по теме «Формулы понижения степени» и результат работы предоставляют по ссылке.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restart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Фронтальная работа, работа с интерактивной доской с элементами самостоятельной работы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1.Подведение итогов групповой работы и представление ее результатов: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Группа "Теоретики" - представляет доказательство формул в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Google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документах.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Группа "Практики" - демонстрирует решение заданий в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Google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документах.</w:t>
            </w:r>
          </w:p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Группа "Созидатели" - представляет по ссылке в сервисе 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LearningApps</w:t>
            </w:r>
            <w:r>
              <w:rPr>
                <w:rFonts w:eastAsia="Calibri"/>
                <w:shd w:val="clear" w:color="auto" w:fill="FFFFFF"/>
                <w:lang w:eastAsia="en-US"/>
              </w:rPr>
              <w:t>.</w:t>
            </w:r>
            <w:r>
              <w:rPr>
                <w:rFonts w:eastAsia="Calibri"/>
                <w:shd w:val="clear" w:color="auto" w:fill="FFFFFF"/>
                <w:lang w:val="en-US" w:eastAsia="en-US"/>
              </w:rPr>
              <w:t>org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задание по теме «Формулы понижения степени. 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2. Получение ответа на ключевой вопрос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(Слайд 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3. Закрепление теории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 Задание на соответствие 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"https://learningapps.org/watch?v=pnw99q2d216"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https://learningapps.org/w</w:t>
            </w:r>
            <w:bookmarkStart w:id="3" w:name="_Hlt33994423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a</w:t>
            </w:r>
            <w:bookmarkEnd w:id="3"/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tch?v=pnw99q2d216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 (Слайд 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4. Минитест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"https://www.zeetings.com/KTV/0008-8581-0020" \l "page"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Интерактивная презентация «Формулы двойного аргумента. Формулы понижения степени»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 (Слайды 19–22)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5. Интерактивный тест с последующем выставлением отметки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"https://onlinetestpad.com/hpaqq6jsu4lnw"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Заключительный тест по теме «Формулы двойного аргумента»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 (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"https://onlinetestpad.com/hpaqq6jsu4lnw"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https://onlinetestpad.com/hpaqq6jsu4lnw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>) (Слайд 23)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951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Фронтальная работа</w:t>
            </w:r>
          </w:p>
        </w:tc>
        <w:tc>
          <w:tcPr>
            <w:tcW w:w="3544" w:type="dxa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Подведение итогов урока. Рефлексия.</w:t>
            </w:r>
          </w:p>
        </w:tc>
        <w:tc>
          <w:tcPr>
            <w:tcW w:w="9756" w:type="dxa"/>
            <w:gridSpan w:val="2"/>
            <w:shd w:val="clear" w:color="auto" w:fill="auto"/>
            <w:noWrap w:val="0"/>
            <w:vAlign w:val="top"/>
          </w:tcPr>
          <w:p>
            <w:pPr>
              <w:pStyle w:val="12"/>
              <w:tabs>
                <w:tab w:val="left" w:pos="930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fldChar w:fldCharType="begin"/>
            </w:r>
            <w:r>
              <w:rPr>
                <w:rFonts w:eastAsia="Calibri"/>
                <w:shd w:val="clear" w:color="auto" w:fill="FFFFFF"/>
                <w:lang w:eastAsia="en-US"/>
              </w:rPr>
              <w:instrText xml:space="preserve"> HYPERLINK "https://www.zeetings.com/KTV/0008-8581-0020" \l "page" </w:instrTex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separate"/>
            </w:r>
            <w:r>
              <w:rPr>
                <w:rStyle w:val="5"/>
                <w:rFonts w:eastAsia="Calibri"/>
                <w:shd w:val="clear" w:color="auto" w:fill="FFFFFF"/>
                <w:lang w:eastAsia="en-US"/>
              </w:rPr>
              <w:t>Интерактивная презентация «Формулы двойного аргумента. Формулы понижения степени»</w:t>
            </w:r>
            <w:r>
              <w:rPr>
                <w:rFonts w:eastAsia="Calibri"/>
                <w:shd w:val="clear" w:color="auto" w:fill="FFFFFF"/>
                <w:lang w:eastAsia="en-US"/>
              </w:rPr>
              <w:fldChar w:fldCharType="end"/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 (Слайды 24–30)</w:t>
            </w:r>
          </w:p>
        </w:tc>
      </w:tr>
    </w:tbl>
    <w:p/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BE"/>
    <w:rsid w:val="00004FDF"/>
    <w:rsid w:val="00006272"/>
    <w:rsid w:val="00006AD2"/>
    <w:rsid w:val="00023C72"/>
    <w:rsid w:val="00053204"/>
    <w:rsid w:val="0006164C"/>
    <w:rsid w:val="00081CFE"/>
    <w:rsid w:val="00085833"/>
    <w:rsid w:val="000C7C41"/>
    <w:rsid w:val="000E0799"/>
    <w:rsid w:val="000E352E"/>
    <w:rsid w:val="000F4C53"/>
    <w:rsid w:val="001545F8"/>
    <w:rsid w:val="00161FB4"/>
    <w:rsid w:val="001B13E5"/>
    <w:rsid w:val="001E70A8"/>
    <w:rsid w:val="00200BFE"/>
    <w:rsid w:val="00215580"/>
    <w:rsid w:val="002231DD"/>
    <w:rsid w:val="00264D99"/>
    <w:rsid w:val="00286035"/>
    <w:rsid w:val="002C3062"/>
    <w:rsid w:val="002D5635"/>
    <w:rsid w:val="002F0342"/>
    <w:rsid w:val="002F064D"/>
    <w:rsid w:val="002F5D01"/>
    <w:rsid w:val="002F7467"/>
    <w:rsid w:val="00326E44"/>
    <w:rsid w:val="00331BC3"/>
    <w:rsid w:val="00343043"/>
    <w:rsid w:val="00360E31"/>
    <w:rsid w:val="003759E7"/>
    <w:rsid w:val="003A6E5E"/>
    <w:rsid w:val="003E2141"/>
    <w:rsid w:val="003E290F"/>
    <w:rsid w:val="003E42FB"/>
    <w:rsid w:val="003F3BE0"/>
    <w:rsid w:val="004147B3"/>
    <w:rsid w:val="00416A1B"/>
    <w:rsid w:val="00422B3C"/>
    <w:rsid w:val="00424990"/>
    <w:rsid w:val="00436800"/>
    <w:rsid w:val="0045132C"/>
    <w:rsid w:val="00461F72"/>
    <w:rsid w:val="004919ED"/>
    <w:rsid w:val="004C1E53"/>
    <w:rsid w:val="004C7B07"/>
    <w:rsid w:val="004D00DA"/>
    <w:rsid w:val="005045FE"/>
    <w:rsid w:val="00514F22"/>
    <w:rsid w:val="00543B05"/>
    <w:rsid w:val="00543DC6"/>
    <w:rsid w:val="00562E53"/>
    <w:rsid w:val="00587E8C"/>
    <w:rsid w:val="005929A0"/>
    <w:rsid w:val="005B11A2"/>
    <w:rsid w:val="005D70C4"/>
    <w:rsid w:val="005E29A2"/>
    <w:rsid w:val="005F11BE"/>
    <w:rsid w:val="006057FE"/>
    <w:rsid w:val="00611C3B"/>
    <w:rsid w:val="00635FC5"/>
    <w:rsid w:val="00637C48"/>
    <w:rsid w:val="00640428"/>
    <w:rsid w:val="006516FE"/>
    <w:rsid w:val="006740B3"/>
    <w:rsid w:val="0068344A"/>
    <w:rsid w:val="00692DB4"/>
    <w:rsid w:val="0069783B"/>
    <w:rsid w:val="006A3CF7"/>
    <w:rsid w:val="006A61B4"/>
    <w:rsid w:val="006B4F43"/>
    <w:rsid w:val="006B5C3E"/>
    <w:rsid w:val="006C14FA"/>
    <w:rsid w:val="006C614C"/>
    <w:rsid w:val="006C7C74"/>
    <w:rsid w:val="006E00E7"/>
    <w:rsid w:val="006F2262"/>
    <w:rsid w:val="006F33B6"/>
    <w:rsid w:val="00712215"/>
    <w:rsid w:val="00712D69"/>
    <w:rsid w:val="0072313C"/>
    <w:rsid w:val="00731AF1"/>
    <w:rsid w:val="007350CE"/>
    <w:rsid w:val="0074085C"/>
    <w:rsid w:val="00747CC1"/>
    <w:rsid w:val="00755974"/>
    <w:rsid w:val="00763BF9"/>
    <w:rsid w:val="007714C9"/>
    <w:rsid w:val="00777EEC"/>
    <w:rsid w:val="007A16AD"/>
    <w:rsid w:val="007A7493"/>
    <w:rsid w:val="007B695E"/>
    <w:rsid w:val="007D1818"/>
    <w:rsid w:val="007D69B5"/>
    <w:rsid w:val="007D7656"/>
    <w:rsid w:val="007E2D91"/>
    <w:rsid w:val="007F6E54"/>
    <w:rsid w:val="008069BA"/>
    <w:rsid w:val="008118C2"/>
    <w:rsid w:val="00816EFC"/>
    <w:rsid w:val="008204E3"/>
    <w:rsid w:val="00824C7F"/>
    <w:rsid w:val="008272A2"/>
    <w:rsid w:val="008372A6"/>
    <w:rsid w:val="00837725"/>
    <w:rsid w:val="00845E49"/>
    <w:rsid w:val="008569FF"/>
    <w:rsid w:val="00885ACA"/>
    <w:rsid w:val="008903EC"/>
    <w:rsid w:val="008F2192"/>
    <w:rsid w:val="00907AE1"/>
    <w:rsid w:val="00921A1B"/>
    <w:rsid w:val="00923A7C"/>
    <w:rsid w:val="009340DB"/>
    <w:rsid w:val="0097170F"/>
    <w:rsid w:val="00976088"/>
    <w:rsid w:val="0098450D"/>
    <w:rsid w:val="00991776"/>
    <w:rsid w:val="00991A2B"/>
    <w:rsid w:val="009A3CC6"/>
    <w:rsid w:val="009E0003"/>
    <w:rsid w:val="009E70BA"/>
    <w:rsid w:val="00A0119D"/>
    <w:rsid w:val="00A31A8A"/>
    <w:rsid w:val="00A34D66"/>
    <w:rsid w:val="00A8112D"/>
    <w:rsid w:val="00AB0CD7"/>
    <w:rsid w:val="00AC45EF"/>
    <w:rsid w:val="00AC62D9"/>
    <w:rsid w:val="00AC6B2F"/>
    <w:rsid w:val="00AF1356"/>
    <w:rsid w:val="00B0055F"/>
    <w:rsid w:val="00B058D3"/>
    <w:rsid w:val="00B27B89"/>
    <w:rsid w:val="00B37DAE"/>
    <w:rsid w:val="00B40A50"/>
    <w:rsid w:val="00B45369"/>
    <w:rsid w:val="00B5644F"/>
    <w:rsid w:val="00B97287"/>
    <w:rsid w:val="00BC46A7"/>
    <w:rsid w:val="00BD3DA2"/>
    <w:rsid w:val="00BE16AE"/>
    <w:rsid w:val="00BE47CF"/>
    <w:rsid w:val="00C01026"/>
    <w:rsid w:val="00C02EAF"/>
    <w:rsid w:val="00C15EFB"/>
    <w:rsid w:val="00C346D8"/>
    <w:rsid w:val="00C44E97"/>
    <w:rsid w:val="00C502BD"/>
    <w:rsid w:val="00C55ACC"/>
    <w:rsid w:val="00C645B4"/>
    <w:rsid w:val="00C6464D"/>
    <w:rsid w:val="00C71077"/>
    <w:rsid w:val="00C82D6E"/>
    <w:rsid w:val="00C853E2"/>
    <w:rsid w:val="00CA20C4"/>
    <w:rsid w:val="00CA4201"/>
    <w:rsid w:val="00CC1F7A"/>
    <w:rsid w:val="00CC6836"/>
    <w:rsid w:val="00D14083"/>
    <w:rsid w:val="00D1408D"/>
    <w:rsid w:val="00D443E4"/>
    <w:rsid w:val="00D90FE3"/>
    <w:rsid w:val="00DA2F40"/>
    <w:rsid w:val="00DC203A"/>
    <w:rsid w:val="00DE38D7"/>
    <w:rsid w:val="00DF64BE"/>
    <w:rsid w:val="00DF6A99"/>
    <w:rsid w:val="00DF787A"/>
    <w:rsid w:val="00E13E38"/>
    <w:rsid w:val="00E22004"/>
    <w:rsid w:val="00E27D10"/>
    <w:rsid w:val="00E3721B"/>
    <w:rsid w:val="00E4610F"/>
    <w:rsid w:val="00E4649C"/>
    <w:rsid w:val="00E5030B"/>
    <w:rsid w:val="00E7050D"/>
    <w:rsid w:val="00E867C7"/>
    <w:rsid w:val="00E876EE"/>
    <w:rsid w:val="00E958C3"/>
    <w:rsid w:val="00EA2958"/>
    <w:rsid w:val="00F122FF"/>
    <w:rsid w:val="00F27151"/>
    <w:rsid w:val="00F36580"/>
    <w:rsid w:val="00F6227D"/>
    <w:rsid w:val="00F6312A"/>
    <w:rsid w:val="00F64C5F"/>
    <w:rsid w:val="00F83629"/>
    <w:rsid w:val="00F87912"/>
    <w:rsid w:val="00FA347B"/>
    <w:rsid w:val="00FA7FF7"/>
    <w:rsid w:val="00FB1549"/>
    <w:rsid w:val="00FB3A1F"/>
    <w:rsid w:val="00FC2243"/>
    <w:rsid w:val="00FF0AF7"/>
    <w:rsid w:val="229E0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6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 Style14"/>
    <w:uiPriority w:val="99"/>
    <w:rPr>
      <w:rFonts w:ascii="Times New Roman" w:hAnsi="Times New Roman" w:cs="Times New Roman"/>
      <w:sz w:val="20"/>
      <w:szCs w:val="20"/>
    </w:rPr>
  </w:style>
  <w:style w:type="character" w:customStyle="1" w:styleId="10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11">
    <w:name w:val="Font Style13"/>
    <w:uiPriority w:val="99"/>
    <w:rPr>
      <w:rFonts w:ascii="Times New Roman" w:hAnsi="Times New Roman" w:cs="Times New Roman"/>
      <w:i/>
      <w:iCs/>
      <w:sz w:val="22"/>
      <w:szCs w:val="22"/>
    </w:rPr>
  </w:style>
  <w:style w:type="paragraph" w:customStyle="1" w:styleId="12">
    <w:name w:val="p1"/>
    <w:basedOn w:val="1"/>
    <w:uiPriority w:val="0"/>
    <w:pPr>
      <w:spacing w:before="100" w:beforeAutospacing="1" w:after="100" w:afterAutospacing="1"/>
    </w:pPr>
    <w:rPr>
      <w:lang w:eastAsia="ru-RU"/>
    </w:rPr>
  </w:style>
  <w:style w:type="character" w:customStyle="1" w:styleId="13">
    <w:name w:val="s9"/>
    <w:basedOn w:val="2"/>
    <w:uiPriority w:val="0"/>
  </w:style>
  <w:style w:type="character" w:customStyle="1" w:styleId="14">
    <w:name w:val="Верхний колонтитул Знак"/>
    <w:link w:val="6"/>
    <w:semiHidden/>
    <w:uiPriority w:val="99"/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15">
    <w:name w:val="Нижний колонтитул Знак"/>
    <w:link w:val="7"/>
    <w:semiHidden/>
    <w:uiPriority w:val="99"/>
    <w:rPr>
      <w:rFonts w:ascii="Times New Roman" w:hAnsi="Times New Roman" w:eastAsia="Times New Roman"/>
      <w:sz w:val="24"/>
      <w:szCs w:val="24"/>
      <w:lang w:eastAsia="ar-SA"/>
    </w:rPr>
  </w:style>
  <w:style w:type="paragraph" w:customStyle="1" w:styleId="16">
    <w:name w:val="Style7"/>
    <w:basedOn w:val="1"/>
    <w:uiPriority w:val="99"/>
    <w:pPr>
      <w:widowControl w:val="0"/>
      <w:autoSpaceDE w:val="0"/>
      <w:autoSpaceDN w:val="0"/>
      <w:adjustRightInd w:val="0"/>
      <w:spacing w:line="265" w:lineRule="exact"/>
    </w:pPr>
    <w:rPr>
      <w:lang w:eastAsia="ru-RU"/>
    </w:rPr>
  </w:style>
  <w:style w:type="paragraph" w:styleId="17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МБОУ СОШ №3</Company>
  <Pages>6</Pages>
  <Words>696</Words>
  <Characters>3973</Characters>
  <Lines>33</Lines>
  <Paragraphs>9</Paragraphs>
  <TotalTime>0</TotalTime>
  <ScaleCrop>false</ScaleCrop>
  <LinksUpToDate>false</LinksUpToDate>
  <CharactersWithSpaces>4660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2020-03-02T07:52:00Z</dcterms:created>
  <dc:creator>User</dc:creator>
  <cp:lastModifiedBy>Людмила Мороз</cp:lastModifiedBy>
  <cp:lastPrinted>2018-09-02T16:39:00Z</cp:lastPrinted>
  <dcterms:modified xsi:type="dcterms:W3CDTF">2024-02-26T14:26:16Z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60D8A52A90914CBCB8BCA390BC1A4347_13</vt:lpwstr>
  </property>
</Properties>
</file>