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D14540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Unități monetare.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Transformări.</w:t>
      </w:r>
      <w:proofErr w:type="gramEnd"/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 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B25B65" w:rsidRDefault="00C209F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Justificarea unui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demers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sau rezultat obținut sau indicat cu figuri, corpuri geometrice și unități de măsură, recurgând la argumentări. 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în diverse contexte terminologia aferentă unităților monetare;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enumere unități monetare naționale/internaționale și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identifice simbolurile corespunzătoare;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O.3. –</w:t>
      </w: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convertească diferite sume dintr-o unitate monetară în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folosind ratele de schimb;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unitățile monetare în rezolvarea problemelor din diverse contexte;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justifice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demers sau rezultat obținut, indicat cu unități monetare, recurgând la argumentări;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mixtă.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B25B65" w:rsidRDefault="00C209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exercițiului; jocul didactic; discuția dirijată; problematizarea; explicația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lucrul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manualul,  asalt de idei;</w:t>
      </w:r>
    </w:p>
    <w:p w:rsidR="00B25B65" w:rsidRDefault="00C209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B25B65" w:rsidRDefault="00C20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B25B65" w:rsidRDefault="00C20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B25B65" w:rsidRDefault="00C209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B25B65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individuală; produse: problemă rezolvată, răspuns oral, exercițiu rezolvat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2"/>
        <w:tblW w:w="13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134"/>
        <w:gridCol w:w="8080"/>
        <w:gridCol w:w="850"/>
        <w:gridCol w:w="2410"/>
      </w:tblGrid>
      <w:tr w:rsidR="00B25B65">
        <w:tc>
          <w:tcPr>
            <w:tcW w:w="1276" w:type="dxa"/>
            <w:vAlign w:val="center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080" w:type="dxa"/>
            <w:vAlign w:val="center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850" w:type="dxa"/>
            <w:vAlign w:val="center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B25B65">
        <w:trPr>
          <w:trHeight w:val="3013"/>
        </w:trPr>
        <w:tc>
          <w:tcPr>
            <w:tcW w:w="1276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080" w:type="dxa"/>
          </w:tcPr>
          <w:p w:rsidR="00C209F2" w:rsidRDefault="00C209F2" w:rsidP="00C209F2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ați avut de pregătit la tema pentru acasă?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§5 Unități de măsură pentru timp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 206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Ex.7, pag. 208;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01.01.1000 și 31.12.1999; b) 01.01.2000.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Ex.9, pag. 208;  R/s: 180 bătăi timp de o zi;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Citește cu atenție fiecare întrebare și selectează răspunsul corect: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https://educatieinteractiva.md/millionar/15241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realizează un sondaj referitor la rezultatele obținute. Se formulează concluzii.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lecției. Elevii notează în caiete.</w:t>
            </w:r>
          </w:p>
        </w:tc>
        <w:tc>
          <w:tcPr>
            <w:tcW w:w="850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Calculatrul, proiectorul, telefonul;</w:t>
            </w:r>
          </w:p>
        </w:tc>
      </w:tr>
      <w:tr w:rsidR="00B25B65">
        <w:trPr>
          <w:trHeight w:val="3282"/>
        </w:trPr>
        <w:tc>
          <w:tcPr>
            <w:tcW w:w="1276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</w:tc>
        <w:tc>
          <w:tcPr>
            <w:tcW w:w="1134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O.2. 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Unităţile monetare măsoară valoarea materială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mărfurilor şi a serviciilor în procesul economic de vânzare–cumpărare.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Unităţile monetare circulă sub formă de monede şi bancnote, deşi, în prezent, tranzacţiile pot fi înlesnite prin diverse modalităţi: virament, cec sau card electronic.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bancnote şi monede se află în circulaţie în Republica Moldova?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bancnote: 1 leu; 5 lei; 10 lei; 20 lei; 50 lei; 100 lei; 200 lei; 500 lei,  1000 lei; monede: 5 bani; 10 bani; 25 bani; 50 bani; 1 leu; 2 lei; 5 lei; 10 lei.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•Banca Naţională a Moldovei mai pune în circulaţie și monede comemorative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dedicate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unor personalităţi, evenimente istorice, precum şi naturii, ştiinţei sau artelor. Sunt confecţionate din aur sau argint, se prezintă în capsule şi cutii speciale.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1784985</wp:posOffset>
                  </wp:positionH>
                  <wp:positionV relativeFrom="paragraph">
                    <wp:posOffset>158115</wp:posOffset>
                  </wp:positionV>
                  <wp:extent cx="3129280" cy="715010"/>
                  <wp:effectExtent l="0" t="0" r="0" b="0"/>
                  <wp:wrapSquare wrapText="bothSides" distT="0" distB="0" distL="114300" distR="11430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280" cy="715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Cum credeți, monedele comemorative pot fi folosite ca mijloc de plată?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(R/s: Da).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Unităţile monetare internaţionale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 mare putere de libertate şi circulă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afara graniţelor statului emitent, servind ca mijloc de plată şi de rezervă    pe  piaţa internaţională, sunt: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dolarul american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euro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lira sterlină; yenul japonez 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Pentru a converti sume de bani dintr-o unitate monetară în alta, se folosește cursul de schimb valutar la ziua curentă în una dintre băncile comerciale din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țară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care te afli. 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3097530</wp:posOffset>
                  </wp:positionH>
                  <wp:positionV relativeFrom="paragraph">
                    <wp:posOffset>116204</wp:posOffset>
                  </wp:positionV>
                  <wp:extent cx="1912620" cy="1179830"/>
                  <wp:effectExtent l="0" t="0" r="0" b="0"/>
                  <wp:wrapSquare wrapText="bothSides" distT="0" distB="0" distL="114300" distR="11430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11798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Exemplu: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Schimbul dintr-o altă valută în lei se efectuează în baza cursului de cumpărare. Schimbul din lei într-o altă valută se efectuează în baza cursului de vânzare. Schimb 100 $ și primesc 1664 lei; cumpăr 100$ și plătesc 1 684 lei.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Elevii notează în caiete noțiunile noi, participă în studierea temei și adresează întrebări dacă nu au înțeles ceva. </w:t>
            </w:r>
          </w:p>
        </w:tc>
        <w:tc>
          <w:tcPr>
            <w:tcW w:w="850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</w:tcPr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frontală;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 cu manualul;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25B65" w:rsidRDefault="00B25B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Explicația;</w:t>
            </w:r>
          </w:p>
        </w:tc>
      </w:tr>
      <w:tr w:rsidR="00B25B65">
        <w:trPr>
          <w:trHeight w:val="273"/>
        </w:trPr>
        <w:tc>
          <w:tcPr>
            <w:tcW w:w="1276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Reflecție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O.1.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080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Transformați în: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bani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a) 2 lei; b) 74 lei; c)4,64 lei; c) 19 lei 60 bani;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a) 850 bani; b) 7 599 bani; c) 44 100 bani; d) 147 lei 12 bani.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Se utilizează transformarea 1 leu = 100 bani sau 1 ban = 0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lei.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Răspunsurile se afișează la proiector și se compară cu răspunsurile elevilor.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1) a) 200 bani; b) 7 400 bani; c) 464 bani; c) 1960 bani;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a) 8,5 lei; b)75,99 lei; c) 441 lei; d) 147,12 lei.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3, (pag. 211)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Salariul lunar al unui angajat constituie 8 260 de lei. Calculaţi suma spre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achitare, dacă din salariu se reţine: impozitul pe venit – 887 lei 12 bani;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cotizaţiile sindicale – 82 de lei 60 de bani; fondul de pensii – 495 de lei 60 de bani; asigurarea medicală – 371 de lei 70 de bani.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Se adună sumele reținute din salariu: 887 lei 12 bani + 82 lei 60 bani + 495 lei 60 bani + 371 lei 70 bani =1837 lei 02 bani. Scădem din salariul lunar suma care se reține: 8 260 lei  -1837 lei 02 bani = 6 422 lei 98 bani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Aurelia a cumpărat o bicicletă cu 1650 lei. Suma a fost achitată, folosind 24 de bancnote de 50 lei şi de 100 lei. Câte bancnote de fiecare valoare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folosit?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Indicație:</w:t>
            </w:r>
            <w:sdt>
              <w:sdtPr>
                <w:tag w:val="goog_rdk_0"/>
                <w:id w:val="2570086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24 ∙ 50 = 1 200; 1 650 – 1 200 = 450; 100 – 50 = 50; </w:t>
                </w:r>
                <w:proofErr w:type="gramStart"/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>450 :</w:t>
                </w:r>
                <w:proofErr w:type="gramEnd"/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50 = 9; 24 – 9 = 15. R/s: 15 bancnote de 50 lei; 9 bancnote de 100 lei.</w:t>
                </w:r>
              </w:sdtContent>
            </w:sdt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Marin a cumpărat un televizor cu 3 300 lei. Suma a fost achitată, folosind 25 de bancnote de 100 lei şi de 200 lei. Câte bancnote de fiecare valoare a folosit?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Indicație:</w:t>
            </w:r>
            <w:sdt>
              <w:sdtPr>
                <w:tag w:val="goog_rdk_1"/>
                <w:id w:val="2570087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25 ∙ 100 = 2 500; 3 300 – 2 500 = 800; 200 – 100 = 100; </w:t>
                </w:r>
              </w:sdtContent>
            </w:sdt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= 8; 25 – 8 = 17.R/s: 17 bancnote - 100 lei; 8 bancnote - 200 lei.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Dorin a cheltuit într-un magazin 680 lei. Suma de bani a fost achitată cu 28 de bancnote de 20 lei şi de 50 lei. Câte bancnote de fiecare valoare a folosit?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Indicație:</w:t>
            </w:r>
            <w:sdt>
              <w:sdtPr>
                <w:tag w:val="goog_rdk_2"/>
                <w:id w:val="2570088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4"/>
                    <w:szCs w:val="24"/>
                  </w:rPr>
                  <w:t xml:space="preserve"> 28 ∙ 20 = 560; 680 – 560 = 120; 50 – 20 = 30; 120 : 30 = 4; </w:t>
                </w:r>
              </w:sdtContent>
            </w:sdt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– 4 = 24. R/s: 24 bancnote de 20 lei; 4 bancnote de 50 lei.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prezintă rezultatele obținute, profesorul apreciază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verbal  corectitudinea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răspunsurilor.</w:t>
            </w:r>
          </w:p>
          <w:p w:rsidR="00B25B65" w:rsidRDefault="00C209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Citește cu atenție fiecare problemă, selectează răspunsul corect.</w:t>
            </w:r>
          </w:p>
          <w:p w:rsidR="00B25B65" w:rsidRDefault="00A35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C209F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https://educatieinteractiva.md/potriveste-perechi/16452</w:t>
              </w:r>
            </w:hyperlink>
            <w:r w:rsidR="00C209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realizează un sondaj referitor la punctajul obținut, se formulează concluzii. 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§6 Unități monetare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 210-211.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§4-5 Operații cu numere zecimale, pag. 137-147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rezolvat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Ex.1, pag. 211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este cea mai mare şi care este cea mai mică sumă ce pot fi achitate: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cu 4 monede identice; b) cu 4 bancnote identice;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monede diferite; d) cu 4 bancnote diferite?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Ex.2, pag. 211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Găsiţi modalitatea de a folosi cele mai puţine bancnote şi monede pentru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formarea sumei de: a) 45 de bani;  b) 80 de bani;  c) 2 568 de lei.</w:t>
            </w:r>
          </w:p>
        </w:tc>
        <w:tc>
          <w:tcPr>
            <w:tcW w:w="850" w:type="dxa"/>
          </w:tcPr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individuală;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 în perechi;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Problematizarea; 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Calculatorul, proiectorul;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Calculatrul, proiectorul, telefonul;</w:t>
            </w:r>
          </w:p>
          <w:p w:rsidR="00B25B65" w:rsidRDefault="00B25B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B65" w:rsidRDefault="00B25B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B65" w:rsidRDefault="00B25B6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5B65" w:rsidRDefault="00C209F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B25B65" w:rsidRDefault="00C20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B25B65" w:rsidRDefault="00B25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25B65" w:rsidRDefault="00B25B6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B25B65" w:rsidRDefault="00C209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Transformaţi în bani: a) 5 345 lei; b) 1 674 lei; c) 8 564 lei; d) 7 865 lei; e) 18 987 lei. </w:t>
      </w:r>
    </w:p>
    <w:p w:rsidR="00B25B65" w:rsidRDefault="00C209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Transformaţi în lei: a) 457 879 bani; b) 287 567 bani; c) 387 564 bani; d) 987 564 bani. </w:t>
      </w:r>
    </w:p>
    <w:p w:rsidR="00B25B65" w:rsidRDefault="00C209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Completaţi locurile libere astfel încât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obţină propoziţii adevărate. a) 14 896 lei 59 bani = ... bani;  b) 18 785 lei 17 bani = ... bani; 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c) 78 564 lei 36 bani = ... bani; d) 78 456 lei 28 bani = ... bani. </w:t>
      </w:r>
    </w:p>
    <w:p w:rsidR="00B25B65" w:rsidRDefault="00C209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Completaţi locurile libere astfel încât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obţină propoziţii adevărate. a) 984 784 lei 44 bani = ... lei;   b) 1 865 175 lei 54 bani = ... lei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 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236 842 lei 44 bani = ... lei; d) 28 890 545 lei 76 bani = ... lei.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Ce sumă de bani a avut Ilie, dacă după ce a cheltuit o treime din sumă a rămas cu: a) 45,4 lei; b) 85,2 lei; c) 27,6 lei; d) 95,8 lei;</w:t>
      </w: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 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O familie a plătit într-o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lună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1160 lei pentru căldură, energie electrică, apă şi telefon.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Suma a fost achitată, folosind 18 bancnote de 20 lei şi 100 lei.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Câte bancnote de fiecare valoare au fost folosite?</w:t>
      </w:r>
      <w:proofErr w:type="gramEnd"/>
    </w:p>
    <w:p w:rsidR="00B25B65" w:rsidRDefault="00B25B6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5B65" w:rsidRDefault="00C209F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color w:val="000000"/>
        </w:rPr>
        <w:t xml:space="preserve"> </w:t>
      </w:r>
    </w:p>
    <w:sectPr w:rsidR="00B25B65" w:rsidSect="00B25B65">
      <w:pgSz w:w="15840" w:h="12240" w:orient="landscape"/>
      <w:pgMar w:top="1134" w:right="956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D4CB4"/>
    <w:multiLevelType w:val="multilevel"/>
    <w:tmpl w:val="B7C69AA8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12270"/>
    <w:multiLevelType w:val="multilevel"/>
    <w:tmpl w:val="C0782F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67F8"/>
    <w:multiLevelType w:val="multilevel"/>
    <w:tmpl w:val="CEA08464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DA42DDC"/>
    <w:multiLevelType w:val="multilevel"/>
    <w:tmpl w:val="30DE40A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20"/>
  <w:characterSpacingControl w:val="doNotCompress"/>
  <w:compat/>
  <w:rsids>
    <w:rsidRoot w:val="00B25B65"/>
    <w:rsid w:val="00A353CE"/>
    <w:rsid w:val="00B25B65"/>
    <w:rsid w:val="00C209F2"/>
    <w:rsid w:val="00D1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B25B6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25B6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25B6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25B6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25B6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B25B6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25B65"/>
  </w:style>
  <w:style w:type="table" w:customStyle="1" w:styleId="TableNormal">
    <w:name w:val="Table Normal"/>
    <w:rsid w:val="00B25B6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25B6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header"/>
    <w:basedOn w:val="a"/>
    <w:link w:val="ac"/>
    <w:uiPriority w:val="99"/>
    <w:semiHidden/>
    <w:unhideWhenUsed/>
    <w:rsid w:val="00B4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6514"/>
  </w:style>
  <w:style w:type="paragraph" w:styleId="ad">
    <w:name w:val="footer"/>
    <w:basedOn w:val="a"/>
    <w:link w:val="ae"/>
    <w:uiPriority w:val="99"/>
    <w:semiHidden/>
    <w:unhideWhenUsed/>
    <w:rsid w:val="00B4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6514"/>
  </w:style>
  <w:style w:type="paragraph" w:styleId="af">
    <w:name w:val="Normal (Web)"/>
    <w:basedOn w:val="a"/>
    <w:uiPriority w:val="99"/>
    <w:unhideWhenUsed/>
    <w:rsid w:val="001B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FollowedHyperlink"/>
    <w:basedOn w:val="a0"/>
    <w:uiPriority w:val="99"/>
    <w:semiHidden/>
    <w:unhideWhenUsed/>
    <w:rsid w:val="00A430C8"/>
    <w:rPr>
      <w:color w:val="954F72" w:themeColor="followedHyperlink"/>
      <w:u w:val="single"/>
    </w:rPr>
  </w:style>
  <w:style w:type="paragraph" w:styleId="af1">
    <w:name w:val="Subtitle"/>
    <w:basedOn w:val="normal"/>
    <w:next w:val="normal"/>
    <w:rsid w:val="00B25B6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B25B6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educatieinteractiva.md/millionar/1524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catieinteractiva.md/potriveste-perechi/1645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Kmpyv1pB42Ty6lAE4264LCH7w==">CgMxLjAaJQoBMBIgCh4IB0IaCg9UaW1lcyBOZXcgUm9tYW4SB0d1bmdzdWgaJQoBMRIgCh4IB0IaCg9UaW1lcyBOZXcgUm9tYW4SB0d1bmdzdWgaJQoBMhIgCh4IB0IaCg9UaW1lcyBOZXcgUm9tYW4SB0d1bmdzdWg4AHIhMUo0czhVRXlPbng0TTRmU3NTZHR3WkpSWHZZaVBFbGJV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2024-04-30T10:45:00Z</dcterms:created>
  <dcterms:modified xsi:type="dcterms:W3CDTF">2024-08-08T09:50:00Z</dcterms:modified>
</cp:coreProperties>
</file>