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73" w:rsidRPr="00193673" w:rsidRDefault="00193673" w:rsidP="0019367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193673" w:rsidRPr="00F2127F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2127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F2127F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 w:rsidR="003D61B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11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193673" w:rsidRPr="003D61B4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3D61B4" w:rsidRPr="005A0F54">
        <w:rPr>
          <w:rFonts w:ascii="Times New Roman" w:hAnsi="Times New Roman"/>
          <w:sz w:val="24"/>
          <w:szCs w:val="24"/>
          <w:lang w:val="ro-RO"/>
        </w:rPr>
        <w:t>Unghiuri adiacente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19367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90ACD" w:rsidRPr="005A0F54" w:rsidRDefault="00E90ACD" w:rsidP="00E90AC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5.1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Identificarea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(spațiu) în situații reale și/sau modelate și clasificarea în funcție de diverse criterii a  figurilor geometrice studiate. </w:t>
      </w:r>
    </w:p>
    <w:p w:rsidR="00E90ACD" w:rsidRPr="005A0F54" w:rsidRDefault="00E90ACD" w:rsidP="00E90AC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E90ACD" w:rsidRPr="005A0F54" w:rsidRDefault="00E90ACD" w:rsidP="00E90AC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E90ACD" w:rsidRPr="005A0F54" w:rsidRDefault="00E90ACD" w:rsidP="00E90AC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E90ACD" w:rsidRPr="005A0F54" w:rsidRDefault="00E90ACD" w:rsidP="00E90AC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193673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193673" w:rsidRPr="00FC736A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FC736A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identifice în situații reale sau modelate unghiurile adiacente;</w:t>
      </w:r>
    </w:p>
    <w:p w:rsidR="00193673" w:rsidRPr="00FC736A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FC736A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aferentă unghiurilor adiacente în comunicare;</w:t>
      </w:r>
    </w:p>
    <w:p w:rsidR="00193673" w:rsidRPr="00FC736A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FC736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caracterizeze unghiurile adiacente utilizând terminologia;</w:t>
      </w:r>
    </w:p>
    <w:p w:rsidR="00193673" w:rsidRPr="00FC736A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FC736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reprezinte în plan unghiurile adiacente utilizând instrumentele de desen;</w:t>
      </w:r>
    </w:p>
    <w:p w:rsid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160030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justifice un rezultat simplu , susținând propriile idei recurgând la argumentări;</w:t>
      </w:r>
    </w:p>
    <w:p w:rsidR="00160030" w:rsidRPr="00160030" w:rsidRDefault="00160030" w:rsidP="00160030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O.6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16003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problemelor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privind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unghiurile adiacente;</w:t>
      </w:r>
    </w:p>
    <w:p w:rsidR="00193673" w:rsidRPr="00E5451F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E5451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mixtă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193673" w:rsidRPr="00193673" w:rsidRDefault="00193673" w:rsidP="0019367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193673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193673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193673" w:rsidRPr="00193673" w:rsidRDefault="00193673" w:rsidP="0019367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193673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4533E9">
        <w:rPr>
          <w:rFonts w:ascii="Times New Roman" w:hAnsi="Times New Roman" w:cs="Times New Roman"/>
          <w:sz w:val="24"/>
          <w:szCs w:val="24"/>
          <w:lang w:val="ro-RO"/>
        </w:rPr>
        <w:t xml:space="preserve"> conversația; </w:t>
      </w:r>
      <w:r w:rsidR="00E5451F">
        <w:rPr>
          <w:rFonts w:ascii="Times New Roman" w:hAnsi="Times New Roman" w:cs="Times New Roman"/>
          <w:sz w:val="24"/>
          <w:szCs w:val="24"/>
          <w:lang w:val="ro-RO"/>
        </w:rPr>
        <w:t xml:space="preserve">explicația; </w:t>
      </w:r>
      <w:r w:rsidR="004533E9">
        <w:rPr>
          <w:rFonts w:ascii="Times New Roman" w:hAnsi="Times New Roman" w:cs="Times New Roman"/>
          <w:sz w:val="24"/>
          <w:szCs w:val="24"/>
          <w:lang w:val="ro-RO"/>
        </w:rPr>
        <w:t>descoperirea;</w:t>
      </w: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193673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193673" w:rsidRPr="00193673" w:rsidRDefault="00193673" w:rsidP="0019367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193673" w:rsidRPr="00193673" w:rsidRDefault="00193673" w:rsidP="0019367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193673" w:rsidRPr="00193673" w:rsidRDefault="00193673" w:rsidP="0019367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193673" w:rsidRPr="00193673" w:rsidRDefault="00193673" w:rsidP="0019367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sz w:val="24"/>
          <w:szCs w:val="24"/>
          <w:lang w:val="ro-RO"/>
        </w:rPr>
        <w:lastRenderedPageBreak/>
        <w:t>Proiectorul sau tabla interactivă;</w:t>
      </w:r>
    </w:p>
    <w:p w:rsidR="00193673" w:rsidRPr="00193673" w:rsidRDefault="004533E9" w:rsidP="0019367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</w:t>
      </w:r>
      <w:r w:rsidR="00193673" w:rsidRPr="001936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93673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scris;  produse: problemă rezolvată, răspuns oral, exercițiu rezolvat</w:t>
      </w:r>
      <w:r w:rsidR="004533E9">
        <w:rPr>
          <w:rFonts w:ascii="Times New Roman" w:hAnsi="Times New Roman" w:cs="Times New Roman"/>
          <w:sz w:val="24"/>
          <w:szCs w:val="24"/>
          <w:lang w:val="ro-RO"/>
        </w:rPr>
        <w:t>, exercițiu de construcție.</w:t>
      </w: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193673" w:rsidRDefault="00193673" w:rsidP="0019367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193673" w:rsidRPr="00193673" w:rsidSect="006B5D34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193673" w:rsidRPr="00193673" w:rsidRDefault="00193673" w:rsidP="0019367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9367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193673" w:rsidRPr="00193673" w:rsidTr="006B5D34">
        <w:tc>
          <w:tcPr>
            <w:tcW w:w="1560" w:type="dxa"/>
            <w:vAlign w:val="center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193673" w:rsidRPr="00193673" w:rsidRDefault="00193673" w:rsidP="006B5D34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193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193673" w:rsidRPr="00193673" w:rsidRDefault="00193673" w:rsidP="006B5D34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193673" w:rsidRPr="00193673" w:rsidTr="006B5D34">
        <w:tc>
          <w:tcPr>
            <w:tcW w:w="1560" w:type="dxa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FC736A" w:rsidRPr="00D7359C" w:rsidRDefault="00FC736A" w:rsidP="00FC736A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FC736A" w:rsidRDefault="00FC736A" w:rsidP="00FC736A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</w:p>
          <w:p w:rsidR="00FE1757" w:rsidRPr="004346A6" w:rsidRDefault="00FE1757" w:rsidP="00FE175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 3(b,d), 5(c,d), 6 (a,b)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14; 25 pag.216.</w:t>
            </w:r>
          </w:p>
          <w:p w:rsidR="00FE1757" w:rsidRDefault="00FE1757" w:rsidP="00FC736A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analizează frontal rezultatele obținute.</w:t>
            </w:r>
          </w:p>
          <w:p w:rsidR="00FE1757" w:rsidRDefault="00FE1757" w:rsidP="00FC736A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cunoștințele elevilor printr-un set de întrebări.</w:t>
            </w:r>
          </w:p>
          <w:p w:rsidR="00FE1757" w:rsidRDefault="00FE1757" w:rsidP="00FC736A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707562" cy="470926"/>
                  <wp:effectExtent l="19050" t="0" r="7188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462" cy="471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757" w:rsidRPr="00D7359C" w:rsidRDefault="00FE1757" w:rsidP="00FC736A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621298" cy="483619"/>
                  <wp:effectExtent l="1905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4451" cy="48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673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086460" cy="290865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31" cy="291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236655" cy="332369"/>
                  <wp:effectExtent l="19050" t="0" r="18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586" cy="336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trece trei elevi pe rând la tablă pentu a rezolva sarcinile de mai jos.</w:t>
            </w: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I elev:  </w:t>
            </w: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-603885</wp:posOffset>
                  </wp:positionV>
                  <wp:extent cx="3534410" cy="457200"/>
                  <wp:effectExtent l="19050" t="0" r="889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41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II elev: </w:t>
            </w: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FE175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-604520</wp:posOffset>
                  </wp:positionV>
                  <wp:extent cx="3503930" cy="431165"/>
                  <wp:effectExtent l="19050" t="0" r="127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93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III elev: </w:t>
            </w:r>
          </w:p>
          <w:p w:rsidR="00FE1757" w:rsidRDefault="00FE1757" w:rsidP="00F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FE175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-497840</wp:posOffset>
                  </wp:positionV>
                  <wp:extent cx="3534410" cy="465455"/>
                  <wp:effectExtent l="19050" t="0" r="889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410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trage concluzia despre însușirea temei.</w:t>
            </w:r>
          </w:p>
          <w:p w:rsidR="00FE1757" w:rsidRPr="00FE1757" w:rsidRDefault="00FE1757" w:rsidP="00FE175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304B1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304B1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065" w:type="dxa"/>
          </w:tcPr>
          <w:p w:rsidR="00193673" w:rsidRPr="00193673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18</w:t>
            </w:r>
          </w:p>
        </w:tc>
        <w:tc>
          <w:tcPr>
            <w:tcW w:w="1770" w:type="dxa"/>
          </w:tcPr>
          <w:p w:rsid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FE1757" w:rsidRPr="00FE1757" w:rsidRDefault="00FE1757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193673" w:rsidRPr="00193673" w:rsidTr="006B5D34">
        <w:tc>
          <w:tcPr>
            <w:tcW w:w="1560" w:type="dxa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Realizarea sensului</w:t>
            </w:r>
          </w:p>
        </w:tc>
        <w:tc>
          <w:tcPr>
            <w:tcW w:w="1276" w:type="dxa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FE1757" w:rsidRDefault="00FE1757" w:rsidP="00F36D56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 explică noțiunea de </w:t>
            </w:r>
            <w:r w:rsidRPr="00FE17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unghiuri adiacente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FE1757" w:rsidRDefault="00FE1757" w:rsidP="00FE1757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440807" cy="361835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6843" cy="362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16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ab/>
            </w:r>
          </w:p>
          <w:p w:rsidR="00FE1757" w:rsidRDefault="00FE1757" w:rsidP="00BD1631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∠EOF și ∠FOB-unghiuri adiacente</m:t>
                </m:r>
              </m:oMath>
            </m:oMathPara>
          </w:p>
          <w:p w:rsidR="004533E9" w:rsidRDefault="004533E9" w:rsidP="00BD1631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93673" w:rsidRDefault="004E385B" w:rsidP="00F36D56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3937000</wp:posOffset>
                  </wp:positionH>
                  <wp:positionV relativeFrom="paragraph">
                    <wp:posOffset>-598805</wp:posOffset>
                  </wp:positionV>
                  <wp:extent cx="986790" cy="974725"/>
                  <wp:effectExtent l="19050" t="0" r="381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16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ab/>
            </w:r>
            <w:r w:rsidR="001C3B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Exercițiul 1 pag.</w:t>
            </w:r>
            <w:r w:rsidR="00F36D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1C3B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211</w:t>
            </w:r>
            <w:r w:rsidR="00BD163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873255" cy="3036498"/>
                  <wp:effectExtent l="19050" t="0" r="35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080" cy="30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D56" w:rsidRDefault="00F36D56" w:rsidP="00BD1631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BD1631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D1631" w:rsidRDefault="001C3B5B" w:rsidP="00F36D56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observă că în exercițiul de mai sus avem </w:t>
            </w:r>
            <w:r w:rsidRPr="001C3B5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unghiuri adiacente complementare și adiacente suplementare.</w:t>
            </w:r>
          </w:p>
          <w:p w:rsidR="001C3B5B" w:rsidRPr="001C3B5B" w:rsidRDefault="001C3B5B" w:rsidP="00BD1631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∠ABD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+m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∠DBC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ung.adiacente complementare</m:t>
                    </m:r>
                  </m:e>
                </m:d>
              </m:oMath>
            </m:oMathPara>
          </w:p>
          <w:p w:rsidR="001C3B5B" w:rsidRDefault="001C3B5B" w:rsidP="00BD1631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∠LON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+m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∠MON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=18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ung.adiacente suplementare</m:t>
                    </m:r>
                  </m:e>
                </m:d>
              </m:oMath>
            </m:oMathPara>
          </w:p>
          <w:p w:rsidR="001C3B5B" w:rsidRDefault="001C3B5B" w:rsidP="00BD1631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3B5B" w:rsidRPr="001C3B5B" w:rsidRDefault="001C3B5B" w:rsidP="00F36D56">
            <w:pPr>
              <w:pStyle w:val="NoSpacing"/>
              <w:tabs>
                <w:tab w:val="left" w:pos="299"/>
                <w:tab w:val="center" w:pos="4002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Se cercetează exercițiul 2 pag.212</w:t>
            </w:r>
          </w:p>
          <w:p w:rsidR="00BD1631" w:rsidRDefault="00BD1631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081270" cy="1699260"/>
                  <wp:effectExtent l="1905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1270" cy="169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631" w:rsidRPr="00BD1631" w:rsidRDefault="00BD1631" w:rsidP="00F36D5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193673" w:rsidRPr="00947A42" w:rsidRDefault="00947A42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1770" w:type="dxa"/>
          </w:tcPr>
          <w:p w:rsid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4E385B" w:rsidRDefault="004E385B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4533E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Descoperirea</w:t>
            </w: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4533E9" w:rsidRPr="004E385B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</w:tc>
      </w:tr>
      <w:tr w:rsidR="00193673" w:rsidRPr="00193673" w:rsidTr="006B5D34">
        <w:tc>
          <w:tcPr>
            <w:tcW w:w="1560" w:type="dxa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936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193673" w:rsidRP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193673" w:rsidRDefault="00F36D56" w:rsidP="00F36D5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propun exerciții de aplicare.</w:t>
            </w:r>
          </w:p>
          <w:p w:rsidR="00F36D56" w:rsidRDefault="00F36D56" w:rsidP="00F36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F36D56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Ex.8 pag. 214</w:t>
            </w:r>
          </w:p>
          <w:p w:rsidR="00F36D56" w:rsidRPr="00F36D56" w:rsidRDefault="00F36D56" w:rsidP="00F36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Construiţi două unghiuri: a) cu vârf comun şi nicio latură comună;</w:t>
            </w:r>
          </w:p>
          <w:p w:rsidR="00F36D56" w:rsidRPr="00F36D56" w:rsidRDefault="00F36D56" w:rsidP="00F36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b) cu o latură comună şi celelalte – semidrepte opuse.</w:t>
            </w:r>
          </w:p>
          <w:p w:rsidR="00F36D56" w:rsidRDefault="00F36D56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c) cu o latură comună şi celelalte – reciproc perpendiculare.</w:t>
            </w:r>
          </w:p>
          <w:p w:rsidR="00F36D56" w:rsidRDefault="00F36D56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Ex.12(a,b)  pag.214</w:t>
            </w:r>
          </w:p>
          <w:p w:rsidR="00F36D56" w:rsidRDefault="00F36D56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Examinaţi desenul şi aflaţi măsura unghiului </w:t>
            </w:r>
            <w:r w:rsidRPr="00F36D56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AOB</w:t>
            </w: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:</w:t>
            </w:r>
          </w:p>
          <w:p w:rsidR="00F36D56" w:rsidRDefault="00F36D56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3146845" cy="104880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302" cy="104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D56" w:rsidRDefault="00F36D56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3.</w:t>
            </w:r>
            <w:r w:rsidR="00947A4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Ex.19(a,e) pag.215</w:t>
            </w:r>
          </w:p>
          <w:p w:rsidR="00F36D56" w:rsidRPr="00F36D56" w:rsidRDefault="00F36D56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1456067" cy="896341"/>
                  <wp:effectExtent l="1905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665" cy="89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       </w:t>
            </w: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1326671" cy="914623"/>
                  <wp:effectExtent l="19050" t="0" r="6829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320" cy="917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8F8" w:rsidRDefault="00947A42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F36D56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4.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F758F8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Ex.20 (a) pag.216</w:t>
            </w:r>
          </w:p>
          <w:p w:rsidR="00F36D56" w:rsidRDefault="00947A42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947A4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Examinaţi desenul şi aflaţi măsurile unghiurilor </w:t>
            </w:r>
            <w:r w:rsidRPr="00947A42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AOB </w:t>
            </w:r>
            <w:r w:rsidRPr="00947A4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947A42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BOC</w:t>
            </w:r>
            <w:r w:rsidRPr="00947A42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:</w:t>
            </w:r>
          </w:p>
          <w:p w:rsidR="00947A42" w:rsidRDefault="00947A42" w:rsidP="00F36D56">
            <w:pPr>
              <w:pStyle w:val="NoSpacing"/>
              <w:spacing w:line="276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NewRoman" w:hAnsi="TimesNewRoman" w:cs="TimesNewRoman"/>
                <w:noProof/>
                <w:color w:val="231F20"/>
                <w:sz w:val="24"/>
                <w:szCs w:val="24"/>
              </w:rPr>
              <w:lastRenderedPageBreak/>
              <w:drawing>
                <wp:inline distT="0" distB="0" distL="0" distR="0">
                  <wp:extent cx="1587421" cy="819510"/>
                  <wp:effectExtent l="19050" t="0" r="0" b="0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438" cy="82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A42" w:rsidRPr="007E7097" w:rsidRDefault="00947A42" w:rsidP="00947A4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7E7097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947A42" w:rsidRPr="007E7E68" w:rsidRDefault="00947A42" w:rsidP="00947A4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- Ce 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am studiat astăzi?</w:t>
            </w:r>
          </w:p>
          <w:p w:rsidR="00947A42" w:rsidRDefault="00947A42" w:rsidP="00947A4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Cum caracterizăm unghiurile adiacente? </w:t>
            </w:r>
            <w:r w:rsidR="00F758F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Ce ați observat?</w:t>
            </w:r>
          </w:p>
          <w:p w:rsidR="00947A42" w:rsidRPr="00003470" w:rsidRDefault="00947A42" w:rsidP="00947A4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947A42" w:rsidRDefault="00947A42" w:rsidP="00947A4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 pe ansamblu.</w:t>
            </w:r>
            <w:r w:rsidR="00E545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menționează elevii care au rezolvat sarcini dificile și se pot aprecia cu note.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evidențiază obiectivele care au fost atinse.</w:t>
            </w:r>
          </w:p>
          <w:p w:rsidR="00947A42" w:rsidRPr="007E7E68" w:rsidRDefault="00947A42" w:rsidP="00947A4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</w:t>
            </w:r>
          </w:p>
          <w:p w:rsidR="00947A42" w:rsidRPr="007E7E68" w:rsidRDefault="00947A42" w:rsidP="00947A4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 : Tema 2.3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Clasificarea perechilor de unghiuri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), pag. 211 – 212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</w:p>
          <w:p w:rsidR="00947A42" w:rsidRPr="007E7E68" w:rsidRDefault="00947A42" w:rsidP="00947A4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54690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algoritmul de rezolvare a ecuațiilor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947A42" w:rsidRPr="004346A6" w:rsidRDefault="00F758F8" w:rsidP="00947A4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 Ex. 7, 12(c</w:t>
            </w:r>
            <w:r w:rsidR="00947A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 214; 19 (</w:t>
            </w:r>
            <w:r w:rsidR="00947A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b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,c,d</w:t>
            </w:r>
            <w:r w:rsidR="00947A4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)</w:t>
            </w:r>
            <w:r w:rsidR="00947A42"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15; 20 (b), 26 (a)pag.216.</w:t>
            </w:r>
          </w:p>
          <w:p w:rsidR="00F36D56" w:rsidRPr="00F36D56" w:rsidRDefault="00F36D56" w:rsidP="00F36D5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193673" w:rsidRPr="00193673" w:rsidRDefault="00947A42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770" w:type="dxa"/>
          </w:tcPr>
          <w:p w:rsidR="00193673" w:rsidRDefault="00193673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533E9" w:rsidRPr="004533E9" w:rsidRDefault="004533E9" w:rsidP="006B5D3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</w:tc>
      </w:tr>
    </w:tbl>
    <w:p w:rsidR="00193673" w:rsidRPr="00193673" w:rsidRDefault="00193673" w:rsidP="0019367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93673" w:rsidRPr="005F2201" w:rsidRDefault="00193673" w:rsidP="0019367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D34" w:rsidRDefault="006B5D34"/>
    <w:sectPr w:rsidR="006B5D34" w:rsidSect="006B5D34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3673"/>
    <w:rsid w:val="00160030"/>
    <w:rsid w:val="00193673"/>
    <w:rsid w:val="001C3B5B"/>
    <w:rsid w:val="003D61B4"/>
    <w:rsid w:val="004533E9"/>
    <w:rsid w:val="004B3283"/>
    <w:rsid w:val="004E385B"/>
    <w:rsid w:val="00546901"/>
    <w:rsid w:val="006B5D34"/>
    <w:rsid w:val="00940056"/>
    <w:rsid w:val="00947A42"/>
    <w:rsid w:val="009C7184"/>
    <w:rsid w:val="00A50CD4"/>
    <w:rsid w:val="00BD1631"/>
    <w:rsid w:val="00D05D0D"/>
    <w:rsid w:val="00D246D7"/>
    <w:rsid w:val="00D32345"/>
    <w:rsid w:val="00E5451F"/>
    <w:rsid w:val="00E90ACD"/>
    <w:rsid w:val="00F2127F"/>
    <w:rsid w:val="00F36D56"/>
    <w:rsid w:val="00F758F8"/>
    <w:rsid w:val="00FC736A"/>
    <w:rsid w:val="00FE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7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673"/>
    <w:pPr>
      <w:spacing w:after="0" w:line="240" w:lineRule="auto"/>
    </w:pPr>
  </w:style>
  <w:style w:type="table" w:styleId="TableGrid">
    <w:name w:val="Table Grid"/>
    <w:basedOn w:val="TableNormal"/>
    <w:uiPriority w:val="39"/>
    <w:rsid w:val="0019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E90AC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17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2024-06-25T15:10:00Z</dcterms:created>
  <dcterms:modified xsi:type="dcterms:W3CDTF">2024-07-11T07:56:00Z</dcterms:modified>
</cp:coreProperties>
</file>