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Calcul algebric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5/13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Formule de calcul prescurtat: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a±b</m:t>
                </m:r>
              </m:e>
            </m:d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±2ab+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b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lineRule="auto"/>
        <w:ind w:left="64" w:firstLine="30.9999999999999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Efectuarea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adunări, scăderi, înmulțiri, împărțiri și ridicări la putere cu exponent natural ale numerelor reale reprezentate prin litere în diverse contexte.</w:t>
      </w:r>
    </w:p>
    <w:p w:rsidR="00000000" w:rsidDel="00000000" w:rsidP="00000000" w:rsidRDefault="00000000" w:rsidRPr="00000000" w14:paraId="0000000A">
      <w:pPr>
        <w:spacing w:after="0" w:lineRule="auto"/>
        <w:ind w:left="64" w:firstLine="30.9999999999999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în enunțuri diverse a formulelor înmulțirii prescurtate și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utilizarea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acestora pentru optimizarea calculelor.</w:t>
      </w:r>
    </w:p>
    <w:p w:rsidR="00000000" w:rsidDel="00000000" w:rsidP="00000000" w:rsidRDefault="00000000" w:rsidRPr="00000000" w14:paraId="0000000B">
      <w:pPr>
        <w:spacing w:after="0" w:line="360" w:lineRule="auto"/>
        <w:ind w:left="64" w:firstLine="30.9999999999999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2.4. Calcularea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valorii numerice a expresiilor algebrice, utilizând calculul algebric.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 Să identifice în diverse enunțuri și  contexte formulele de calcul prescurtat studiate;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O.2.  Să efectueze operații cu numere reale reprezentate prin litere;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O.3.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Să utilizeze formulele de calcul prescurtat studiate pentru optimizarea calculelor în situații reale și/sau modelate;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O.4.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exemplifice eficiența aplicării formulelor de calcul prescurtat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în diverse situații;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O.5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Să manifeste independență în gândire și acțiune privind aplicarea formulelor de calcul prescurtat.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lecție de formare a capacităților de dobândire a cunoștințelor.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Discuția;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Jocul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,,Găsește perechea”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Șpuntenco, Ministerul Educației și Cercetării al Republicii Moldova Manual de matematică, Clasa a VII-a, Editura Prut Internațional, Chișinău, 2023;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 interactivă;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Platforma educațională: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https://educatieinteractiva.md/adevarat-fals/11453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 scris;  produse: răspuns oral, exercițiu rezolvat, jocul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,,Găsește perechea” (evaluare fără note)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924"/>
        <w:gridCol w:w="958"/>
        <w:gridCol w:w="1913"/>
        <w:tblGridChange w:id="0">
          <w:tblGrid>
            <w:gridCol w:w="2056"/>
            <w:gridCol w:w="1184"/>
            <w:gridCol w:w="7924"/>
            <w:gridCol w:w="958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creează atmosfera necesară de desfășurare a lecției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Întrebări-fulger 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numim ridicarea la putere?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(înmulțirea repetată)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ne arată exponentul unei puteri?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(de cât ori se repetă baza)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rezultat obținem dacă ridicăm un număr la puterea 0?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 ce este egal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2024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?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 este egală puterea unei puteri?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ff0000"/>
                      <w:sz w:val="24"/>
                      <w:szCs w:val="24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color w:val="ff000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color w:val="ff0000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color w:val="ff0000"/>
                              <w:sz w:val="24"/>
                              <w:szCs w:val="24"/>
                            </w:rPr>
                            <m:t xml:space="preserve">n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ff0000"/>
                      <w:sz w:val="24"/>
                      <w:szCs w:val="24"/>
                    </w:rPr>
                    <m:t xml:space="preserve">m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ff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ff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ff0000"/>
                      <w:sz w:val="24"/>
                      <w:szCs w:val="24"/>
                    </w:rPr>
                    <m:t xml:space="preserve">n∙m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Verificarea temei pentru acasă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5 (a,), 6(a), 5(a), 9(a), 16(a), pag. 46.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Ex. 5, pag. 46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Desfaceți parantezele: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a)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</m:t>
                  </m:r>
                </m:den>
              </m:f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y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9x-3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y-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den>
              </m:f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Ex. 6, pag. 46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Desfaceți parantezele: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a)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2a-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+3a-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-5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3a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+3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Ex. 9, pag. 46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Desfaceți parantezele: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e)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4x+1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-3x-1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g)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5+ay-by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=5a+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y-2aby-5b+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y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 amintim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Pentru orice numere reale a, b, c,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a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b±c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=ab±ac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a±b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c=ac±bc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Aplicăm: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Desfaceți parantezele: </w:t>
            </w: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5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3x+4y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=5∙3x+5∙4y=15x+20y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Pentru orice numere reale a, b, c, d, 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a+b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c+d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=ac+ad+bc+bd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Aplicăm: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e>
                  </m:rad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Discuția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Anunțarea subiectului lecției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Formulele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 calcul  prescurtat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a±b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±2ab+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Notarea subiectului lecției în caiete 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Anunțarea obiectivelor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Deducem formula: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Pătratul unei sume a doi termeni      Un elev la tablă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(a+b)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a+b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a+b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=a∙a+a∙b+b∙a+b∙b=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Rețineți: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Pătratul unei sume a doi termeni este egal cu suma pătratelor lor plus dublul produsului termenilor: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(a+b)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Exemple: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(b+3)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+2∙b∙3+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+6b+9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(2+m)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+2∙2∙m+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=4+4m+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Deducem formula: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Pătratul diferenței a două numere reale    Un elev la tablă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(a-b)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a+(-b)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+2∙a∙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-b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-2ab+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Rețineți: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Pătratul diferenței a două numere reale este egal cu descăzutul la pătrat plus scăzătorul la pătrat, minus dublul produsului 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(a-b)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Exemplu: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(a-1)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-2∙a∙1+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-2a+1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(4-y)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-2∙4∙y+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=16-8y+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Exemplu: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+2b)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+2∙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∙2b+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=3+4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Ex. 21, pag. 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Aflați aria pătratului cu latura 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</w:t>
            </w: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)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+1</m:t>
                  </m:r>
                </m:e>
              </m: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 cm.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left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p</m:t>
                  </m:r>
                </m:sub>
              </m:sSub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</m:t>
              </m:r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∙</m:t>
              </m:r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∙1+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13+4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</m:e>
              </m:d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Ex. 27, pag. 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Aplicând formulele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a±b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±2ab+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calculați oral: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b)</w:t>
            </w: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59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60-1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60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-2∙60∙1+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=3600-120+1=3481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left"/>
              <w:rPr>
                <w:rFonts w:ascii="Cambria Math" w:cs="Cambria Math" w:eastAsia="Cambria Math" w:hAnsi="Cambria Math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e)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62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60+2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60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+2∙60∙2+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=3600+240+4=3844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Ex. 10, p. 46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Varianta 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Efectuați: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b)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(a-3)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-2∙a∙3+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-6a+27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c)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(x+a)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+2∙x∙a+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+2ax+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Ex. 10, p. 46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Varianta II. Efectuați: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e)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(3-x)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-2∙3∙x+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=9-6x+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f)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(4+a)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4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+2∙4∙a+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=16+8a+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Ex. 11, p. 46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Efectuați:                                          Un elev la tablă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b)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(3a+5b)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(3a)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+2∙3a∙5b+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5b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9a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+30ab+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25b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3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a+2x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3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a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+2∙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a∙2x+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2x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9</m:t>
                  </m:r>
                </m:den>
              </m:f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ax+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4x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f)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b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4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a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b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-2∙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a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16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ab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color w:val="000000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4"/>
                      <w:szCs w:val="24"/>
                    </w:rPr>
                    <m:t xml:space="preserve">9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formativă (fără aprecieri cu note?!):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Jocul didactic interactiv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,,Găsește perechea”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https://educatieinteractiva.md/adevarat-fals/11453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aplică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link-ul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realizează jocul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,,Găsește perechea”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Ce am învățat astăzi la lecție?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Cum se formulează formulele studiate?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Care este eficiența lor? La ce ne ajută?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obiectivele …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întrebări aveți?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Temă pentru acasă: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Secvențele  3.2. Pătratul sumei a doi termeni, 3.3. Pătratul diferenței a două numere reale, pag. 45,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tat: Formulele de calcul prescurtat studiate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Ex. 10 (a,d), 11 (a,c,e), pag. 46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notează tema pentru acasă.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Conversația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</w:t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92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510CF"/>
    <w:pPr>
      <w:spacing w:after="200" w:line="276" w:lineRule="auto"/>
    </w:pPr>
    <w:rPr>
      <w:rFonts w:ascii="Calibri" w:cs="Calibri" w:eastAsia="Calibri" w:hAnsi="Calibri"/>
      <w:lang w:eastAsia="ru-RU" w:val="ro-RO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Hyperlink"/>
    <w:basedOn w:val="a0"/>
    <w:uiPriority w:val="99"/>
    <w:unhideWhenUsed w:val="1"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 w:val="1"/>
    <w:rsid w:val="00AC1B9E"/>
    <w:rPr>
      <w:color w:val="808080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EF3374"/>
    <w:rPr>
      <w:color w:val="605e5c"/>
      <w:shd w:color="auto" w:fill="e1dfdd" w:val="clear"/>
    </w:rPr>
  </w:style>
  <w:style w:type="character" w:styleId="a7">
    <w:name w:val="FollowedHyperlink"/>
    <w:basedOn w:val="a0"/>
    <w:uiPriority w:val="99"/>
    <w:semiHidden w:val="1"/>
    <w:unhideWhenUsed w:val="1"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 w:val="1"/>
    <w:unhideWhenUsed w:val="1"/>
    <w:rsid w:val="00E352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E352BE"/>
    <w:rPr>
      <w:rFonts w:ascii="Tahoma" w:cs="Tahoma" w:eastAsia="Calibri" w:hAnsi="Tahoma"/>
      <w:sz w:val="16"/>
      <w:szCs w:val="16"/>
      <w:lang w:eastAsia="ru-RU" w:val="ro-RO"/>
    </w:rPr>
  </w:style>
  <w:style w:type="paragraph" w:styleId="aa">
    <w:name w:val="List Paragraph"/>
    <w:basedOn w:val="a"/>
    <w:uiPriority w:val="34"/>
    <w:qFormat w:val="1"/>
    <w:rsid w:val="009D6A3B"/>
    <w:pPr>
      <w:ind w:left="720"/>
      <w:contextualSpacing w:val="1"/>
    </w:pPr>
  </w:style>
  <w:style w:type="character" w:styleId="ab">
    <w:name w:val="Unresolved Mention"/>
    <w:basedOn w:val="a0"/>
    <w:uiPriority w:val="99"/>
    <w:semiHidden w:val="1"/>
    <w:unhideWhenUsed w:val="1"/>
    <w:rsid w:val="005B76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adevarat-fals/11453" TargetMode="External"/><Relationship Id="rId8" Type="http://schemas.openxmlformats.org/officeDocument/2006/relationships/hyperlink" Target="https://educatieinteractiva.md/adevarat-fals/1145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m5KKfYBR+pHcGDDh5ezW16zxQ==">CgMxLjAyCGguZ2pkZ3hzMgloLjMwajB6bGw4AHIhMXZFUnVpaXdNLUJvbFZzRk81ZWh0dldLY2ZPa3RqOGV1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2024-05-24T12:37:00Z</dcterms:created>
  <dc:creator>Valentina Ceapa</dc:creator>
</cp:coreProperties>
</file>