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A7" w:rsidRPr="007964A7" w:rsidRDefault="007964A7" w:rsidP="007964A7">
      <w:pPr>
        <w:shd w:val="clear" w:color="auto" w:fill="FFFFFF"/>
        <w:spacing w:after="0" w:line="329" w:lineRule="atLeast"/>
        <w:textAlignment w:val="baseline"/>
        <w:outlineLvl w:val="1"/>
        <w:rPr>
          <w:rFonts w:ascii="Arial" w:eastAsia="Times New Roman" w:hAnsi="Arial" w:cs="Arial"/>
          <w:b/>
          <w:bCs/>
          <w:color w:val="3385A2"/>
          <w:spacing w:val="-12"/>
          <w:sz w:val="36"/>
          <w:szCs w:val="36"/>
        </w:rPr>
      </w:pPr>
      <w:r w:rsidRPr="007964A7">
        <w:rPr>
          <w:rFonts w:ascii="Arial" w:eastAsia="Times New Roman" w:hAnsi="Arial" w:cs="Arial"/>
          <w:b/>
          <w:bCs/>
          <w:color w:val="3385A2"/>
          <w:spacing w:val="-12"/>
          <w:sz w:val="36"/>
          <w:szCs w:val="36"/>
        </w:rPr>
        <w:t>Examenul național de Bacalaureat a fost promovat de circa 94% din absolvenții de licee</w:t>
      </w:r>
    </w:p>
    <w:p w:rsidR="007964A7" w:rsidRPr="007964A7" w:rsidRDefault="007964A7" w:rsidP="007964A7">
      <w:pPr>
        <w:shd w:val="clear" w:color="auto" w:fill="FFFFFF"/>
        <w:spacing w:after="0" w:line="240" w:lineRule="auto"/>
        <w:textAlignment w:val="baseline"/>
        <w:rPr>
          <w:rFonts w:ascii="Arial" w:eastAsia="Times New Roman" w:hAnsi="Arial" w:cs="Arial"/>
          <w:color w:val="555555"/>
          <w:sz w:val="24"/>
          <w:szCs w:val="24"/>
        </w:rPr>
      </w:pPr>
      <w:proofErr w:type="spellStart"/>
      <w:r w:rsidRPr="007964A7">
        <w:rPr>
          <w:rFonts w:ascii="inherit" w:eastAsia="Times New Roman" w:hAnsi="inherit" w:cs="Arial"/>
          <w:color w:val="13779B"/>
          <w:sz w:val="17"/>
          <w:szCs w:val="17"/>
          <w:bdr w:val="none" w:sz="0" w:space="0" w:color="auto" w:frame="1"/>
        </w:rPr>
        <w:t>Published</w:t>
      </w:r>
      <w:proofErr w:type="spellEnd"/>
      <w:r w:rsidRPr="007964A7">
        <w:rPr>
          <w:rFonts w:ascii="inherit" w:eastAsia="Times New Roman" w:hAnsi="inherit" w:cs="Arial"/>
          <w:color w:val="13779B"/>
          <w:sz w:val="17"/>
          <w:szCs w:val="17"/>
          <w:bdr w:val="none" w:sz="0" w:space="0" w:color="auto" w:frame="1"/>
        </w:rPr>
        <w:t xml:space="preserve"> on: </w:t>
      </w:r>
      <w:proofErr w:type="spellStart"/>
      <w:r w:rsidRPr="007964A7">
        <w:rPr>
          <w:rFonts w:ascii="inherit" w:eastAsia="Times New Roman" w:hAnsi="inherit" w:cs="Arial"/>
          <w:color w:val="000000"/>
          <w:sz w:val="17"/>
          <w:szCs w:val="17"/>
          <w:bdr w:val="none" w:sz="0" w:space="0" w:color="auto" w:frame="1"/>
        </w:rPr>
        <w:t>Wed</w:t>
      </w:r>
      <w:proofErr w:type="spellEnd"/>
      <w:r w:rsidRPr="007964A7">
        <w:rPr>
          <w:rFonts w:ascii="inherit" w:eastAsia="Times New Roman" w:hAnsi="inherit" w:cs="Arial"/>
          <w:color w:val="000000"/>
          <w:sz w:val="17"/>
          <w:szCs w:val="17"/>
          <w:bdr w:val="none" w:sz="0" w:space="0" w:color="auto" w:frame="1"/>
        </w:rPr>
        <w:t>, 08/04/2021 - 10:51</w:t>
      </w:r>
    </w:p>
    <w:p w:rsidR="007964A7" w:rsidRPr="007964A7" w:rsidRDefault="007964A7" w:rsidP="007964A7">
      <w:pPr>
        <w:shd w:val="clear" w:color="auto" w:fill="FFFFFF"/>
        <w:spacing w:after="0" w:line="240" w:lineRule="auto"/>
        <w:textAlignment w:val="baseline"/>
        <w:rPr>
          <w:rFonts w:ascii="inherit" w:eastAsia="Times New Roman" w:hAnsi="inherit" w:cs="Arial"/>
          <w:color w:val="555555"/>
          <w:sz w:val="24"/>
          <w:szCs w:val="24"/>
        </w:rPr>
      </w:pPr>
    </w:p>
    <w:p w:rsidR="007964A7" w:rsidRPr="00FF74AF" w:rsidRDefault="007964A7" w:rsidP="007964A7">
      <w:pPr>
        <w:shd w:val="clear" w:color="auto" w:fill="FFFFFF"/>
        <w:spacing w:after="0" w:line="224" w:lineRule="atLeast"/>
        <w:jc w:val="both"/>
        <w:textAlignment w:val="baseline"/>
        <w:rPr>
          <w:rFonts w:ascii="Times New Roman" w:eastAsia="Times New Roman" w:hAnsi="Times New Roman" w:cs="Times New Roman"/>
          <w:sz w:val="28"/>
          <w:szCs w:val="28"/>
          <w:bdr w:val="none" w:sz="0" w:space="0" w:color="auto" w:frame="1"/>
        </w:rPr>
      </w:pPr>
      <w:r w:rsidRPr="007964A7">
        <w:rPr>
          <w:rFonts w:ascii="Times New Roman" w:eastAsia="Times New Roman" w:hAnsi="Times New Roman" w:cs="Times New Roman"/>
          <w:sz w:val="28"/>
          <w:szCs w:val="28"/>
          <w:bdr w:val="none" w:sz="0" w:space="0" w:color="auto" w:frame="1"/>
        </w:rPr>
        <w:t xml:space="preserve">Rezultatele finale din cadrul sesiunii suplimentare a examenului național de Bacalaureat au fost publicate </w:t>
      </w:r>
      <w:r w:rsidR="00FF74AF" w:rsidRPr="00FF74AF">
        <w:rPr>
          <w:rFonts w:ascii="Times New Roman" w:eastAsia="Times New Roman" w:hAnsi="Times New Roman" w:cs="Times New Roman"/>
          <w:sz w:val="28"/>
          <w:szCs w:val="28"/>
          <w:bdr w:val="none" w:sz="0" w:space="0" w:color="auto" w:frame="1"/>
        </w:rPr>
        <w:t>pe pagina web MECC la</w:t>
      </w:r>
      <w:r w:rsidRPr="007964A7">
        <w:rPr>
          <w:rFonts w:ascii="Times New Roman" w:eastAsia="Times New Roman" w:hAnsi="Times New Roman" w:cs="Times New Roman"/>
          <w:sz w:val="28"/>
          <w:szCs w:val="28"/>
          <w:bdr w:val="none" w:sz="0" w:space="0" w:color="auto" w:frame="1"/>
        </w:rPr>
        <w:t xml:space="preserve"> 02 august 2021.</w:t>
      </w:r>
    </w:p>
    <w:p w:rsidR="00FF74AF" w:rsidRPr="00FF74AF" w:rsidRDefault="00FF74AF" w:rsidP="00FF74AF">
      <w:pPr>
        <w:shd w:val="clear" w:color="auto" w:fill="FFFFFF"/>
        <w:spacing w:after="0" w:line="224" w:lineRule="atLeast"/>
        <w:jc w:val="both"/>
        <w:textAlignment w:val="baseline"/>
        <w:rPr>
          <w:rFonts w:ascii="Times New Roman" w:eastAsia="Times New Roman" w:hAnsi="Times New Roman" w:cs="Times New Roman"/>
          <w:sz w:val="28"/>
          <w:szCs w:val="28"/>
          <w:bdr w:val="none" w:sz="0" w:space="0" w:color="auto" w:frame="1"/>
        </w:rPr>
      </w:pPr>
    </w:p>
    <w:p w:rsidR="00FF74AF" w:rsidRPr="007964A7" w:rsidRDefault="00FF74AF" w:rsidP="00FF74AF">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 xml:space="preserve">La sesiunea de </w:t>
      </w:r>
      <w:r w:rsidRPr="007964A7">
        <w:rPr>
          <w:rFonts w:ascii="Times New Roman" w:eastAsia="Times New Roman" w:hAnsi="Times New Roman" w:cs="Times New Roman"/>
          <w:b/>
          <w:i/>
          <w:sz w:val="28"/>
          <w:szCs w:val="28"/>
          <w:bdr w:val="none" w:sz="0" w:space="0" w:color="auto" w:frame="1"/>
        </w:rPr>
        <w:t>Bacalaureat 2021</w:t>
      </w:r>
      <w:r w:rsidRPr="007964A7">
        <w:rPr>
          <w:rFonts w:ascii="Times New Roman" w:eastAsia="Times New Roman" w:hAnsi="Times New Roman" w:cs="Times New Roman"/>
          <w:sz w:val="28"/>
          <w:szCs w:val="28"/>
          <w:bdr w:val="none" w:sz="0" w:space="0" w:color="auto" w:frame="1"/>
        </w:rPr>
        <w:t xml:space="preserve"> au fost admiși </w:t>
      </w:r>
      <w:r w:rsidRPr="007964A7">
        <w:rPr>
          <w:rFonts w:ascii="Times New Roman" w:eastAsia="Times New Roman" w:hAnsi="Times New Roman" w:cs="Times New Roman"/>
          <w:b/>
          <w:sz w:val="28"/>
          <w:szCs w:val="28"/>
          <w:bdr w:val="none" w:sz="0" w:space="0" w:color="auto" w:frame="1"/>
        </w:rPr>
        <w:t>16213 candidați</w:t>
      </w:r>
      <w:r w:rsidRPr="007964A7">
        <w:rPr>
          <w:rFonts w:ascii="Times New Roman" w:eastAsia="Times New Roman" w:hAnsi="Times New Roman" w:cs="Times New Roman"/>
          <w:sz w:val="28"/>
          <w:szCs w:val="28"/>
          <w:bdr w:val="none" w:sz="0" w:space="0" w:color="auto" w:frame="1"/>
        </w:rPr>
        <w:t xml:space="preserve">, dintre care </w:t>
      </w:r>
      <w:r w:rsidRPr="007964A7">
        <w:rPr>
          <w:rFonts w:ascii="Times New Roman" w:eastAsia="Times New Roman" w:hAnsi="Times New Roman" w:cs="Times New Roman"/>
          <w:i/>
          <w:sz w:val="28"/>
          <w:szCs w:val="28"/>
          <w:bdr w:val="none" w:sz="0" w:space="0" w:color="auto" w:frame="1"/>
        </w:rPr>
        <w:t>10914 candidați din licee</w:t>
      </w:r>
      <w:r w:rsidRPr="007964A7">
        <w:rPr>
          <w:rFonts w:ascii="Times New Roman" w:eastAsia="Times New Roman" w:hAnsi="Times New Roman" w:cs="Times New Roman"/>
          <w:sz w:val="28"/>
          <w:szCs w:val="28"/>
          <w:bdr w:val="none" w:sz="0" w:space="0" w:color="auto" w:frame="1"/>
        </w:rPr>
        <w:t xml:space="preserve">, </w:t>
      </w:r>
      <w:r w:rsidRPr="007964A7">
        <w:rPr>
          <w:rFonts w:ascii="Times New Roman" w:eastAsia="Times New Roman" w:hAnsi="Times New Roman" w:cs="Times New Roman"/>
          <w:i/>
          <w:sz w:val="28"/>
          <w:szCs w:val="28"/>
          <w:bdr w:val="none" w:sz="0" w:space="0" w:color="auto" w:frame="1"/>
        </w:rPr>
        <w:t>4601 candidați din colegii</w:t>
      </w:r>
      <w:r w:rsidRPr="007964A7">
        <w:rPr>
          <w:rFonts w:ascii="Times New Roman" w:eastAsia="Times New Roman" w:hAnsi="Times New Roman" w:cs="Times New Roman"/>
          <w:sz w:val="28"/>
          <w:szCs w:val="28"/>
          <w:bdr w:val="none" w:sz="0" w:space="0" w:color="auto" w:frame="1"/>
        </w:rPr>
        <w:t xml:space="preserve">, </w:t>
      </w:r>
      <w:r w:rsidRPr="007964A7">
        <w:rPr>
          <w:rFonts w:ascii="Times New Roman" w:eastAsia="Times New Roman" w:hAnsi="Times New Roman" w:cs="Times New Roman"/>
          <w:i/>
          <w:sz w:val="28"/>
          <w:szCs w:val="28"/>
          <w:bdr w:val="none" w:sz="0" w:space="0" w:color="auto" w:frame="1"/>
        </w:rPr>
        <w:t>187 de candidați din universități</w:t>
      </w:r>
      <w:r w:rsidRPr="007964A7">
        <w:rPr>
          <w:rFonts w:ascii="Times New Roman" w:eastAsia="Times New Roman" w:hAnsi="Times New Roman" w:cs="Times New Roman"/>
          <w:sz w:val="28"/>
          <w:szCs w:val="28"/>
          <w:bdr w:val="none" w:sz="0" w:space="0" w:color="auto" w:frame="1"/>
        </w:rPr>
        <w:t xml:space="preserve">, </w:t>
      </w:r>
      <w:r w:rsidRPr="007964A7">
        <w:rPr>
          <w:rFonts w:ascii="Times New Roman" w:eastAsia="Times New Roman" w:hAnsi="Times New Roman" w:cs="Times New Roman"/>
          <w:i/>
          <w:sz w:val="28"/>
          <w:szCs w:val="28"/>
          <w:bdr w:val="none" w:sz="0" w:space="0" w:color="auto" w:frame="1"/>
        </w:rPr>
        <w:t>342 de candidați care s-au înscris în regim extern și 169 de restanțieri</w:t>
      </w:r>
      <w:r w:rsidRPr="007964A7">
        <w:rPr>
          <w:rFonts w:ascii="Times New Roman" w:eastAsia="Times New Roman" w:hAnsi="Times New Roman" w:cs="Times New Roman"/>
          <w:sz w:val="28"/>
          <w:szCs w:val="28"/>
          <w:bdr w:val="none" w:sz="0" w:space="0" w:color="auto" w:frame="1"/>
        </w:rPr>
        <w:t xml:space="preserve"> din sesiunile anterioare.</w:t>
      </w:r>
    </w:p>
    <w:p w:rsidR="00FF74AF" w:rsidRPr="007964A7" w:rsidRDefault="00FF74AF" w:rsidP="007964A7">
      <w:pPr>
        <w:shd w:val="clear" w:color="auto" w:fill="FFFFFF"/>
        <w:spacing w:after="0" w:line="224" w:lineRule="atLeast"/>
        <w:jc w:val="both"/>
        <w:textAlignment w:val="baseline"/>
        <w:rPr>
          <w:rFonts w:ascii="inherit" w:eastAsia="Times New Roman" w:hAnsi="inherit" w:cs="Times New Roman"/>
          <w:sz w:val="24"/>
          <w:szCs w:val="24"/>
        </w:rPr>
      </w:pP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 xml:space="preserve">La sesiunea suplimentară din anul curent s-au înscris </w:t>
      </w:r>
      <w:r w:rsidRPr="007964A7">
        <w:rPr>
          <w:rFonts w:ascii="Times New Roman" w:eastAsia="Times New Roman" w:hAnsi="Times New Roman" w:cs="Times New Roman"/>
          <w:b/>
          <w:sz w:val="28"/>
          <w:szCs w:val="28"/>
          <w:bdr w:val="none" w:sz="0" w:space="0" w:color="auto" w:frame="1"/>
        </w:rPr>
        <w:t>3139 de candidați</w:t>
      </w:r>
      <w:r w:rsidRPr="007964A7">
        <w:rPr>
          <w:rFonts w:ascii="Times New Roman" w:eastAsia="Times New Roman" w:hAnsi="Times New Roman" w:cs="Times New Roman"/>
          <w:sz w:val="28"/>
          <w:szCs w:val="28"/>
          <w:bdr w:val="none" w:sz="0" w:space="0" w:color="auto" w:frame="1"/>
        </w:rPr>
        <w:t xml:space="preserve">. Circa </w:t>
      </w:r>
      <w:r w:rsidRPr="007964A7">
        <w:rPr>
          <w:rFonts w:ascii="Times New Roman" w:eastAsia="Times New Roman" w:hAnsi="Times New Roman" w:cs="Times New Roman"/>
          <w:b/>
          <w:sz w:val="28"/>
          <w:szCs w:val="28"/>
          <w:bdr w:val="none" w:sz="0" w:space="0" w:color="auto" w:frame="1"/>
        </w:rPr>
        <w:t>33%</w:t>
      </w:r>
      <w:r w:rsidRPr="007964A7">
        <w:rPr>
          <w:rFonts w:ascii="Times New Roman" w:eastAsia="Times New Roman" w:hAnsi="Times New Roman" w:cs="Times New Roman"/>
          <w:sz w:val="28"/>
          <w:szCs w:val="28"/>
          <w:bdr w:val="none" w:sz="0" w:space="0" w:color="auto" w:frame="1"/>
        </w:rPr>
        <w:t xml:space="preserve"> dintre tinerii care au participat la această sesiune au promovat examenul, prin urmare încă </w:t>
      </w:r>
      <w:r w:rsidRPr="007964A7">
        <w:rPr>
          <w:rFonts w:ascii="Times New Roman" w:eastAsia="Times New Roman" w:hAnsi="Times New Roman" w:cs="Times New Roman"/>
          <w:b/>
          <w:sz w:val="28"/>
          <w:szCs w:val="28"/>
          <w:bdr w:val="none" w:sz="0" w:space="0" w:color="auto" w:frame="1"/>
        </w:rPr>
        <w:t>1038</w:t>
      </w:r>
      <w:r w:rsidRPr="007964A7">
        <w:rPr>
          <w:rFonts w:ascii="Times New Roman" w:eastAsia="Times New Roman" w:hAnsi="Times New Roman" w:cs="Times New Roman"/>
          <w:sz w:val="28"/>
          <w:szCs w:val="28"/>
          <w:bdr w:val="none" w:sz="0" w:space="0" w:color="auto" w:frame="1"/>
        </w:rPr>
        <w:t xml:space="preserve"> de candidați au obținut diplomele de Bacalaureat. </w:t>
      </w:r>
      <w:r w:rsidRPr="007964A7">
        <w:rPr>
          <w:rFonts w:ascii="Times New Roman" w:eastAsia="Times New Roman" w:hAnsi="Times New Roman" w:cs="Times New Roman"/>
          <w:b/>
          <w:sz w:val="28"/>
          <w:szCs w:val="28"/>
          <w:bdr w:val="none" w:sz="0" w:space="0" w:color="auto" w:frame="1"/>
        </w:rPr>
        <w:t>Numărul absolvenților care au promovat examenul național</w:t>
      </w:r>
      <w:r w:rsidRPr="007964A7">
        <w:rPr>
          <w:rFonts w:ascii="inherit" w:eastAsia="Times New Roman" w:hAnsi="inherit" w:cs="Times New Roman"/>
          <w:b/>
          <w:sz w:val="28"/>
          <w:szCs w:val="28"/>
          <w:bdr w:val="none" w:sz="0" w:space="0" w:color="auto" w:frame="1"/>
        </w:rPr>
        <w:t> de Bacalaureat</w:t>
      </w:r>
      <w:r w:rsidRPr="007964A7">
        <w:rPr>
          <w:rFonts w:ascii="inherit" w:eastAsia="Times New Roman" w:hAnsi="inherit" w:cs="Times New Roman"/>
          <w:sz w:val="28"/>
          <w:szCs w:val="28"/>
          <w:bdr w:val="none" w:sz="0" w:space="0" w:color="auto" w:frame="1"/>
        </w:rPr>
        <w:t xml:space="preserve"> </w:t>
      </w:r>
      <w:r w:rsidR="00FF74AF" w:rsidRPr="00FF74AF">
        <w:rPr>
          <w:rFonts w:ascii="inherit" w:eastAsia="Times New Roman" w:hAnsi="inherit" w:cs="Times New Roman"/>
          <w:b/>
          <w:sz w:val="28"/>
          <w:szCs w:val="28"/>
          <w:bdr w:val="none" w:sz="0" w:space="0" w:color="auto" w:frame="1"/>
        </w:rPr>
        <w:t>2021</w:t>
      </w:r>
      <w:r w:rsidRPr="007964A7">
        <w:rPr>
          <w:rFonts w:ascii="inherit" w:eastAsia="Times New Roman" w:hAnsi="inherit" w:cs="Times New Roman"/>
          <w:sz w:val="28"/>
          <w:szCs w:val="28"/>
          <w:bdr w:val="none" w:sz="0" w:space="0" w:color="auto" w:frame="1"/>
        </w:rPr>
        <w:t xml:space="preserve"> este de </w:t>
      </w:r>
      <w:r w:rsidRPr="007964A7">
        <w:rPr>
          <w:rFonts w:ascii="inherit" w:eastAsia="Times New Roman" w:hAnsi="inherit" w:cs="Times New Roman"/>
          <w:b/>
          <w:sz w:val="28"/>
          <w:szCs w:val="28"/>
          <w:bdr w:val="none" w:sz="0" w:space="0" w:color="auto" w:frame="1"/>
        </w:rPr>
        <w:t>12880.</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Urmare a desfășurării sesiunii de bază și a celei suplimentare din cadrul examenului național de Bacalaureat, rata de promovare a absolvenților din licee este de 93,98%, care este aproximativ aceeași comparativ cu sesiunea 2019. Astfel, din cei 10914 liceeni, 10258 au promovat examenul național de Bacalaureat.</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Mai mult de jumătate dintre candidații din colegii și centre de excelență au promovat examenul național de Bacalaureat. Astfel, din cei 4601 candidați admiși la sesiune, 2357 au promovat examenul, rata de promovare a absolvenților din colegii și centre de excelență fiind de 51,22%.</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Din cei 187 de candidați înscriși din universități, 118 au promovat examenul național de Bacalaureat, ceea ce reprezintă 63,1%.</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Rata de promovare a candidaților care s-au înscris în regim extern este de 35,38%. Astfel, din cei 342 de candidați, 121 au promovat examenul național de Bacalaureat.</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Din cei 169 de restanțieri înscriși din sesiunile anterioare, 26 de candidați au promovat examenul, ceea ce constituie 15,38%.</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Rata totală de promovare a examenului național de Bacalaureat a crescut cu 2,45 puncte procentuale față de anul 2019 și constituie 79,44%.Este în creștere și media obținută de absolvenți, iar pentru candidații din licee media mediilor la examenul național de Bacalaureat este 7,19, comparativ cu 7,04 în 2019.</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Menționăm că în cadrul examenului național de Bacalaureat, sesiunea 2021, a fost eliminat din examen 1 candidat.</w:t>
      </w:r>
    </w:p>
    <w:p w:rsidR="007964A7" w:rsidRPr="007964A7" w:rsidRDefault="007964A7" w:rsidP="007964A7">
      <w:pPr>
        <w:shd w:val="clear" w:color="auto" w:fill="FFFFFF"/>
        <w:spacing w:after="0" w:line="224" w:lineRule="atLeast"/>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Mai multe date cu referire la rezultatele examenului național de Bacalaureat vor fi prezentate în cadrul </w:t>
      </w:r>
      <w:r w:rsidRPr="007964A7">
        <w:rPr>
          <w:rFonts w:ascii="inherit" w:eastAsia="Times New Roman" w:hAnsi="inherit" w:cs="Times New Roman"/>
          <w:i/>
          <w:iCs/>
          <w:sz w:val="28"/>
          <w:szCs w:val="28"/>
          <w:bdr w:val="none" w:sz="0" w:space="0" w:color="auto" w:frame="1"/>
        </w:rPr>
        <w:t>Raportului privind evaluările naționale 2021</w:t>
      </w:r>
      <w:r w:rsidRPr="007964A7">
        <w:rPr>
          <w:rFonts w:ascii="Times New Roman" w:eastAsia="Times New Roman" w:hAnsi="Times New Roman" w:cs="Times New Roman"/>
          <w:sz w:val="28"/>
          <w:szCs w:val="28"/>
          <w:bdr w:val="none" w:sz="0" w:space="0" w:color="auto" w:frame="1"/>
        </w:rPr>
        <w:t>, care va fi publicat în toamnă.</w:t>
      </w:r>
      <w:r w:rsidRPr="007964A7">
        <w:rPr>
          <w:rFonts w:ascii="inherit" w:eastAsia="Times New Roman" w:hAnsi="inherit" w:cs="Times New Roman"/>
          <w:sz w:val="28"/>
          <w:szCs w:val="28"/>
          <w:bdr w:val="none" w:sz="0" w:space="0" w:color="auto" w:frame="1"/>
        </w:rPr>
        <w:t> </w:t>
      </w:r>
    </w:p>
    <w:p w:rsidR="007964A7" w:rsidRPr="007964A7" w:rsidRDefault="007964A7" w:rsidP="007964A7">
      <w:pPr>
        <w:shd w:val="clear" w:color="auto" w:fill="FFFFFF"/>
        <w:spacing w:after="0" w:line="240" w:lineRule="auto"/>
        <w:jc w:val="both"/>
        <w:textAlignment w:val="baseline"/>
        <w:rPr>
          <w:rFonts w:ascii="inherit" w:eastAsia="Times New Roman" w:hAnsi="inherit" w:cs="Times New Roman"/>
          <w:sz w:val="24"/>
          <w:szCs w:val="24"/>
        </w:rPr>
      </w:pPr>
      <w:r w:rsidRPr="007964A7">
        <w:rPr>
          <w:rFonts w:ascii="Times New Roman" w:eastAsia="Times New Roman" w:hAnsi="Times New Roman" w:cs="Times New Roman"/>
          <w:sz w:val="28"/>
          <w:szCs w:val="28"/>
          <w:bdr w:val="none" w:sz="0" w:space="0" w:color="auto" w:frame="1"/>
        </w:rPr>
        <w:t>*Evoluția rezultatelor examenului de Bacalaureat în ultimii ani poate fi urmărită analizând diagramele ce urmează.</w:t>
      </w:r>
    </w:p>
    <w:p w:rsidR="00DC5F9B" w:rsidRPr="00FF74AF" w:rsidRDefault="00DC5F9B"/>
    <w:p w:rsidR="007964A7" w:rsidRDefault="007964A7"/>
    <w:p w:rsidR="007964A7" w:rsidRDefault="007964A7">
      <w:r>
        <w:rPr>
          <w:noProof/>
        </w:rPr>
        <w:drawing>
          <wp:inline distT="0" distB="0" distL="0" distR="0" wp14:anchorId="73F7BABD" wp14:editId="796D90D8">
            <wp:extent cx="5731510" cy="2840282"/>
            <wp:effectExtent l="0" t="0" r="2540" b="0"/>
            <wp:docPr id="4" name="Рисунок 4" descr="https://mecc.gov.md/sites/default/files/styles/press_release_slide_480/public/press-release/content_img/bac2021_rata_promovare.png?itok=gs8e7M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cc.gov.md/sites/default/files/styles/press_release_slide_480/public/press-release/content_img/bac2021_rata_promovare.png?itok=gs8e7MA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840282"/>
                    </a:xfrm>
                    <a:prstGeom prst="rect">
                      <a:avLst/>
                    </a:prstGeom>
                    <a:noFill/>
                    <a:ln>
                      <a:noFill/>
                    </a:ln>
                  </pic:spPr>
                </pic:pic>
              </a:graphicData>
            </a:graphic>
          </wp:inline>
        </w:drawing>
      </w:r>
    </w:p>
    <w:p w:rsidR="007964A7" w:rsidRDefault="007964A7"/>
    <w:p w:rsidR="007964A7" w:rsidRDefault="007964A7">
      <w:r>
        <w:rPr>
          <w:noProof/>
        </w:rPr>
        <w:drawing>
          <wp:inline distT="0" distB="0" distL="0" distR="0" wp14:anchorId="220FABC3" wp14:editId="0026E7BC">
            <wp:extent cx="5731510" cy="2897597"/>
            <wp:effectExtent l="0" t="0" r="2540" b="0"/>
            <wp:docPr id="5" name="Рисунок 5" descr="https://mecc.gov.md/sites/default/files/styles/press_release_slide_480/public/press-release/content_img/bac2021_rata_promovare_2014-2021.png?itok=uFJDGV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cc.gov.md/sites/default/files/styles/press_release_slide_480/public/press-release/content_img/bac2021_rata_promovare_2014-2021.png?itok=uFJDGVA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897597"/>
                    </a:xfrm>
                    <a:prstGeom prst="rect">
                      <a:avLst/>
                    </a:prstGeom>
                    <a:noFill/>
                    <a:ln>
                      <a:noFill/>
                    </a:ln>
                  </pic:spPr>
                </pic:pic>
              </a:graphicData>
            </a:graphic>
          </wp:inline>
        </w:drawing>
      </w:r>
    </w:p>
    <w:p w:rsidR="007964A7" w:rsidRDefault="007964A7"/>
    <w:p w:rsidR="00FF74AF" w:rsidRDefault="00FF74AF">
      <w:r>
        <w:rPr>
          <w:noProof/>
        </w:rPr>
        <w:lastRenderedPageBreak/>
        <w:drawing>
          <wp:inline distT="0" distB="0" distL="0" distR="0" wp14:anchorId="24EF610F" wp14:editId="61864492">
            <wp:extent cx="5731510" cy="2795703"/>
            <wp:effectExtent l="0" t="0" r="2540" b="5080"/>
            <wp:docPr id="7" name="Рисунок 7" descr="https://mecc.gov.md/sites/default/files/styles/press_release_slide_480/public/press-release/content_img/bac2021_rata_promovare_licee.png?itok=Iwwrw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cc.gov.md/sites/default/files/styles/press_release_slide_480/public/press-release/content_img/bac2021_rata_promovare_licee.png?itok=Iwwrwcz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95703"/>
                    </a:xfrm>
                    <a:prstGeom prst="rect">
                      <a:avLst/>
                    </a:prstGeom>
                    <a:noFill/>
                    <a:ln>
                      <a:noFill/>
                    </a:ln>
                  </pic:spPr>
                </pic:pic>
              </a:graphicData>
            </a:graphic>
          </wp:inline>
        </w:drawing>
      </w:r>
    </w:p>
    <w:p w:rsidR="00FF74AF" w:rsidRDefault="00FF74AF"/>
    <w:p w:rsidR="007964A7" w:rsidRDefault="007964A7">
      <w:r>
        <w:rPr>
          <w:noProof/>
        </w:rPr>
        <w:drawing>
          <wp:inline distT="0" distB="0" distL="0" distR="0" wp14:anchorId="4A407B41" wp14:editId="7B0F02C7">
            <wp:extent cx="5731510" cy="2935807"/>
            <wp:effectExtent l="0" t="0" r="2540" b="0"/>
            <wp:docPr id="6" name="Рисунок 6" descr="https://mecc.gov.md/sites/default/files/styles/press_release_slide_480/public/press-release/content_img/bac2021_media_mediilor.png?itok=olZu5g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cc.gov.md/sites/default/files/styles/press_release_slide_480/public/press-release/content_img/bac2021_media_mediilor.png?itok=olZu5gE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935807"/>
                    </a:xfrm>
                    <a:prstGeom prst="rect">
                      <a:avLst/>
                    </a:prstGeom>
                    <a:noFill/>
                    <a:ln>
                      <a:noFill/>
                    </a:ln>
                  </pic:spPr>
                </pic:pic>
              </a:graphicData>
            </a:graphic>
          </wp:inline>
        </w:drawing>
      </w:r>
    </w:p>
    <w:p w:rsidR="007964A7" w:rsidRDefault="007964A7"/>
    <w:p w:rsidR="007964A7" w:rsidRDefault="007964A7">
      <w:r>
        <w:rPr>
          <w:noProof/>
        </w:rPr>
        <w:drawing>
          <wp:inline distT="0" distB="0" distL="0" distR="0" wp14:anchorId="1EDD803A" wp14:editId="0C11974A">
            <wp:extent cx="5731510" cy="2547338"/>
            <wp:effectExtent l="0" t="0" r="2540" b="5715"/>
            <wp:docPr id="3" name="Рисунок 3" descr="https://mecc.gov.md/sites/default/files/styles/press_release_slide_480/public/press-release/content_img/bac2021_candidati_eliminati.png?itok=TwFfl68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cc.gov.md/sites/default/files/styles/press_release_slide_480/public/press-release/content_img/bac2021_candidati_eliminati.png?itok=TwFfl68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547338"/>
                    </a:xfrm>
                    <a:prstGeom prst="rect">
                      <a:avLst/>
                    </a:prstGeom>
                    <a:noFill/>
                    <a:ln>
                      <a:noFill/>
                    </a:ln>
                  </pic:spPr>
                </pic:pic>
              </a:graphicData>
            </a:graphic>
          </wp:inline>
        </w:drawing>
      </w:r>
      <w:bookmarkStart w:id="0" w:name="_GoBack"/>
      <w:bookmarkEnd w:id="0"/>
    </w:p>
    <w:sectPr w:rsidR="007964A7" w:rsidSect="00FF74AF">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A7"/>
    <w:rsid w:val="00000C53"/>
    <w:rsid w:val="007964A7"/>
    <w:rsid w:val="00DC5F9B"/>
    <w:rsid w:val="00FF74AF"/>
  </w:rsids>
  <m:mathPr>
    <m:mathFont m:val="Cambria Math"/>
    <m:brkBin m:val="before"/>
    <m:brkBinSub m:val="--"/>
    <m:smallFrac m:val="0"/>
    <m:dispDef/>
    <m:lMargin m:val="0"/>
    <m:rMargin m:val="0"/>
    <m:defJc m:val="centerGroup"/>
    <m:wrapIndent m:val="1440"/>
    <m:intLim m:val="subSup"/>
    <m:naryLim m:val="undOvr"/>
  </m:mathPr>
  <w:themeFontLang w:val="ro-R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A5AE0-E901-496A-B3F3-C6972C93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17390">
      <w:bodyDiv w:val="1"/>
      <w:marLeft w:val="0"/>
      <w:marRight w:val="0"/>
      <w:marTop w:val="0"/>
      <w:marBottom w:val="0"/>
      <w:divBdr>
        <w:top w:val="none" w:sz="0" w:space="0" w:color="auto"/>
        <w:left w:val="none" w:sz="0" w:space="0" w:color="auto"/>
        <w:bottom w:val="none" w:sz="0" w:space="0" w:color="auto"/>
        <w:right w:val="none" w:sz="0" w:space="0" w:color="auto"/>
      </w:divBdr>
      <w:divsChild>
        <w:div w:id="1228419406">
          <w:marLeft w:val="0"/>
          <w:marRight w:val="0"/>
          <w:marTop w:val="0"/>
          <w:marBottom w:val="0"/>
          <w:divBdr>
            <w:top w:val="none" w:sz="0" w:space="0" w:color="auto"/>
            <w:left w:val="none" w:sz="0" w:space="0" w:color="auto"/>
            <w:bottom w:val="none" w:sz="0" w:space="0" w:color="auto"/>
            <w:right w:val="none" w:sz="0" w:space="0" w:color="auto"/>
          </w:divBdr>
          <w:divsChild>
            <w:div w:id="672728376">
              <w:marLeft w:val="0"/>
              <w:marRight w:val="0"/>
              <w:marTop w:val="0"/>
              <w:marBottom w:val="0"/>
              <w:divBdr>
                <w:top w:val="none" w:sz="0" w:space="0" w:color="auto"/>
                <w:left w:val="none" w:sz="0" w:space="0" w:color="auto"/>
                <w:bottom w:val="none" w:sz="0" w:space="0" w:color="auto"/>
                <w:right w:val="none" w:sz="0" w:space="0" w:color="auto"/>
              </w:divBdr>
              <w:divsChild>
                <w:div w:id="673067948">
                  <w:marLeft w:val="0"/>
                  <w:marRight w:val="0"/>
                  <w:marTop w:val="0"/>
                  <w:marBottom w:val="0"/>
                  <w:divBdr>
                    <w:top w:val="none" w:sz="0" w:space="0" w:color="auto"/>
                    <w:left w:val="none" w:sz="0" w:space="0" w:color="auto"/>
                    <w:bottom w:val="none" w:sz="0" w:space="0" w:color="auto"/>
                    <w:right w:val="none" w:sz="0" w:space="0" w:color="auto"/>
                  </w:divBdr>
                  <w:divsChild>
                    <w:div w:id="673192182">
                      <w:marLeft w:val="0"/>
                      <w:marRight w:val="0"/>
                      <w:marTop w:val="0"/>
                      <w:marBottom w:val="0"/>
                      <w:divBdr>
                        <w:top w:val="none" w:sz="0" w:space="0" w:color="auto"/>
                        <w:left w:val="none" w:sz="0" w:space="0" w:color="auto"/>
                        <w:bottom w:val="none" w:sz="0" w:space="0" w:color="auto"/>
                        <w:right w:val="none" w:sz="0" w:space="0" w:color="auto"/>
                      </w:divBdr>
                      <w:divsChild>
                        <w:div w:id="3568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498">
                  <w:marLeft w:val="0"/>
                  <w:marRight w:val="0"/>
                  <w:marTop w:val="0"/>
                  <w:marBottom w:val="0"/>
                  <w:divBdr>
                    <w:top w:val="none" w:sz="0" w:space="0" w:color="auto"/>
                    <w:left w:val="none" w:sz="0" w:space="0" w:color="auto"/>
                    <w:bottom w:val="none" w:sz="0" w:space="0" w:color="auto"/>
                    <w:right w:val="none" w:sz="0" w:space="0" w:color="auto"/>
                  </w:divBdr>
                  <w:divsChild>
                    <w:div w:id="1337417508">
                      <w:marLeft w:val="0"/>
                      <w:marRight w:val="0"/>
                      <w:marTop w:val="0"/>
                      <w:marBottom w:val="0"/>
                      <w:divBdr>
                        <w:top w:val="none" w:sz="0" w:space="0" w:color="auto"/>
                        <w:left w:val="none" w:sz="0" w:space="0" w:color="auto"/>
                        <w:bottom w:val="none" w:sz="0" w:space="0" w:color="auto"/>
                        <w:right w:val="none" w:sz="0" w:space="0" w:color="auto"/>
                      </w:divBdr>
                      <w:divsChild>
                        <w:div w:id="17894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384</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VictorPaginu</dc:creator>
  <cp:keywords/>
  <dc:description/>
  <cp:lastModifiedBy>VictorPaginu</cp:lastModifiedBy>
  <cp:revision>1</cp:revision>
  <dcterms:created xsi:type="dcterms:W3CDTF">2021-08-10T05:23:00Z</dcterms:created>
  <dcterms:modified xsi:type="dcterms:W3CDTF">2021-08-10T06:00:00Z</dcterms:modified>
</cp:coreProperties>
</file>