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44"/>
        <w:gridCol w:w="5221"/>
        <w:gridCol w:w="2090"/>
      </w:tblGrid>
      <w:tr w:rsidR="00901570" w:rsidRPr="00901570" w:rsidTr="00901570">
        <w:trPr>
          <w:tblCellSpacing w:w="0" w:type="dxa"/>
        </w:trPr>
        <w:tc>
          <w:tcPr>
            <w:tcW w:w="0" w:type="auto"/>
            <w:gridSpan w:val="3"/>
            <w:shd w:val="clear" w:color="auto" w:fill="004080"/>
            <w:vAlign w:val="center"/>
            <w:hideMark/>
          </w:tcPr>
          <w:p w:rsidR="00901570" w:rsidRPr="00901570" w:rsidRDefault="00901570" w:rsidP="009015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9525" cy="66675"/>
                  <wp:effectExtent l="0" t="0" r="0" b="0"/>
                  <wp:docPr id="1" name="Рисунок 1" descr="http://mmmf.msu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mmf.msu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570" w:rsidRPr="00901570" w:rsidTr="00901570">
        <w:trPr>
          <w:tblCellSpacing w:w="0" w:type="dxa"/>
        </w:trPr>
        <w:tc>
          <w:tcPr>
            <w:tcW w:w="0" w:type="auto"/>
            <w:shd w:val="clear" w:color="auto" w:fill="8080FF"/>
            <w:vAlign w:val="center"/>
            <w:hideMark/>
          </w:tcPr>
          <w:p w:rsidR="00901570" w:rsidRPr="00901570" w:rsidRDefault="00901570" w:rsidP="009015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>
                  <wp:extent cx="1047750" cy="666750"/>
                  <wp:effectExtent l="0" t="0" r="0" b="0"/>
                  <wp:docPr id="2" name="Рисунок 2" descr="http://mmmf.msu.ru/images/msu_up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mmf.msu.ru/images/msu_up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8080FF"/>
            <w:vAlign w:val="center"/>
            <w:hideMark/>
          </w:tcPr>
          <w:p w:rsidR="00901570" w:rsidRPr="00901570" w:rsidRDefault="00901570" w:rsidP="00901570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56"/>
                <w:szCs w:val="56"/>
                <w:lang w:eastAsia="ru-RU"/>
              </w:rPr>
            </w:pPr>
            <w:hyperlink r:id="rId8" w:history="1">
              <w:r w:rsidRPr="00901570">
                <w:rPr>
                  <w:rFonts w:ascii="Verdana" w:eastAsia="Times New Roman" w:hAnsi="Verdana" w:cs="Times New Roman"/>
                  <w:b/>
                  <w:bCs/>
                  <w:color w:val="FFFFFF"/>
                  <w:kern w:val="36"/>
                  <w:sz w:val="56"/>
                  <w:u w:val="single"/>
                  <w:lang w:eastAsia="ru-RU"/>
                </w:rPr>
                <w:t>МАЛЫЙ МЕХМАТ МГУ</w:t>
              </w:r>
            </w:hyperlink>
          </w:p>
        </w:tc>
      </w:tr>
      <w:tr w:rsidR="00901570" w:rsidRPr="00901570" w:rsidTr="00901570">
        <w:trPr>
          <w:tblCellSpacing w:w="0" w:type="dxa"/>
        </w:trPr>
        <w:tc>
          <w:tcPr>
            <w:tcW w:w="0" w:type="auto"/>
            <w:shd w:val="clear" w:color="auto" w:fill="004080"/>
            <w:vAlign w:val="center"/>
            <w:hideMark/>
          </w:tcPr>
          <w:p w:rsidR="00901570" w:rsidRPr="00901570" w:rsidRDefault="00901570" w:rsidP="009015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>
                  <wp:extent cx="1047750" cy="66675"/>
                  <wp:effectExtent l="0" t="0" r="0" b="0"/>
                  <wp:docPr id="3" name="Рисунок 3" descr="http://mmmf.msu.ru/images/msu_mid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mmf.msu.ru/images/msu_mid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004080"/>
            <w:vAlign w:val="center"/>
            <w:hideMark/>
          </w:tcPr>
          <w:p w:rsidR="00901570" w:rsidRPr="00901570" w:rsidRDefault="00901570" w:rsidP="009015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9525" cy="66675"/>
                  <wp:effectExtent l="0" t="0" r="0" b="0"/>
                  <wp:docPr id="4" name="Рисунок 4" descr="http://mmmf.msu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mmf.msu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570" w:rsidRPr="00901570" w:rsidTr="00901570">
        <w:trPr>
          <w:tblCellSpacing w:w="0" w:type="dxa"/>
        </w:trPr>
        <w:tc>
          <w:tcPr>
            <w:tcW w:w="0" w:type="auto"/>
            <w:shd w:val="clear" w:color="auto" w:fill="DDEEFF"/>
            <w:hideMark/>
          </w:tcPr>
          <w:p w:rsidR="00901570" w:rsidRPr="00901570" w:rsidRDefault="00901570" w:rsidP="009015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FFFFFF"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695325"/>
                  <wp:effectExtent l="19050" t="0" r="0" b="0"/>
                  <wp:docPr id="5" name="Рисунок 5" descr="http://mmmf.msu.ru/images/msu_d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mmf.msu.ru/images/msu_d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11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ГЛАВНАЯ СТРАНИЦА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12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О КРУЖКАХ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13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СОТРУДНИКИ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14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РЕГИСТРАЦИЯ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15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МАТЕРИАЛЫ ЗАНЯТИЙ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16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ЛЕКЦИИ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17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БИОЛЕКТОРИЙ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18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МАЛЫЙ МЕХМАТ — ШКОЛЕ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19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ЗАОЧНОЕ ОТДЕЛЕНИЕ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20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ВЫЕЗДНЫЕ ШКОЛЫ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21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АРХИВ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22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ЛИТЕРАТУРА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23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ССЫЛКИ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1"/>
              </w:numPr>
              <w:pBdr>
                <w:top w:val="single" w:sz="12" w:space="1" w:color="004080"/>
                <w:left w:val="single" w:sz="12" w:space="1" w:color="004080"/>
                <w:bottom w:val="single" w:sz="12" w:space="1" w:color="004080"/>
                <w:right w:val="single" w:sz="12" w:space="1" w:color="00408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24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ПОИСК</w:t>
              </w:r>
            </w:hyperlink>
          </w:p>
        </w:tc>
        <w:tc>
          <w:tcPr>
            <w:tcW w:w="5000" w:type="pct"/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901570" w:rsidRPr="00901570" w:rsidRDefault="00901570" w:rsidP="00901570">
            <w:pPr>
              <w:spacing w:before="312" w:after="12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0157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Проценты</w:t>
            </w:r>
          </w:p>
          <w:p w:rsidR="00901570" w:rsidRPr="00901570" w:rsidRDefault="00901570" w:rsidP="00901570">
            <w:pPr>
              <w:spacing w:after="168" w:line="240" w:lineRule="auto"/>
              <w:jc w:val="right"/>
              <w:rPr>
                <w:rFonts w:ascii="Verdana" w:eastAsia="Times New Roman" w:hAnsi="Verdana" w:cs="Times New Roman"/>
                <w:i/>
                <w:iCs/>
                <w:color w:val="004080"/>
                <w:sz w:val="27"/>
                <w:szCs w:val="27"/>
                <w:lang w:eastAsia="ru-RU"/>
              </w:rPr>
            </w:pPr>
            <w:r w:rsidRPr="00901570">
              <w:rPr>
                <w:rFonts w:ascii="Verdana" w:eastAsia="Times New Roman" w:hAnsi="Verdana" w:cs="Times New Roman"/>
                <w:i/>
                <w:iCs/>
                <w:color w:val="004080"/>
                <w:sz w:val="27"/>
                <w:szCs w:val="27"/>
                <w:lang w:eastAsia="ru-RU"/>
              </w:rPr>
              <w:t>Цент — одна сотая часть условной единицы.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2"/>
              <w:gridCol w:w="4279"/>
            </w:tblGrid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Ученик прочитал 138 страниц, что составляет 23% числа всех страниц в книге. Сколько страниц в книге?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Указание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Указание.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Один процент — это 138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: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23 = 6 страниц.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600 страниц.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Разложите 80 тетрадей на две стопки так, чтобы число тетрадей одной из них составило 60% числа тетрадей другой стопки.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Указание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Указание.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Составьте и решите уравнение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+ 0,6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80.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В одной стопке 50 тетрадей, в другой — 30.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Когда из первого бидона перелили во второй 12,5% находившегося в первом бидоне молока, то молока в бидонах стало поровну, по 35 литров. Сколько молока было во втором бидоне?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12,5% — это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1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8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часть. Значит, после переливания в первом бидоне осталось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7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8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первоначального объёма молока. Если 35 литров — это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7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8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 то 35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: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7 = 5 литров —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1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8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Значит, было перелито 5 литров, а во втором бидоне первоначально было 35 – 5 = 30 литров молока.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114.  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Множимое увеличили на 50%, а множитель уменьшили на 50%. Как изменилось произведение?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Произведение уменьшилось на 25%.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Пусть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— множимое,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— множитель. Увеличив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 50%, получим 1,5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Уменьшив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 50%, получим 0,5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 Произведение превратилось 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  <w:proofErr w:type="gramEnd"/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1,5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· 0,5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0,75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xy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что составляет 75% первоначального произведения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xy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больше: 15,43% от 5 или 5% от 15,43?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Эти величины равны.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изменится цена товара, если сначала её увеличить на 100%, а затем уменьшить на 50%?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Цена останется прежней, ибо сначала её умножат на 2, а затем разделят на 2.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Цену картофеля повысили на 20%. Через некоторое время цену снизили на 20%. Когда картофель стоил дешевле: до повышения или после снижения?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После снижения цены картофель стал на 4% дешевле, чем до повышения.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Если цену картофеля до повышения принять за 100 частей, то после повышения она составила 120 частей, а после снижения на 20% цена уменьшилась на 120 · 20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: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100 = 24 части и стала равна 120 – 24 = 96 частям, то есть составила 96% исходной цены.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Вычисления проще было провести так: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1,2 · 0,8 = 0,96.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(Обязательно разберитесь, почему умножить на 1,2 — значит увеличить на 20%, а умножить на 0,8 — значит уменьшить на 20%.)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 </w:t>
                  </w:r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</w:t>
                  </w: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C</w:t>
                  </w: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состязались в беге на 100 м. Когда </w:t>
                  </w:r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финишировал, </w:t>
                  </w:r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</w:t>
                  </w: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отставал от него на 10 м. Когда </w:t>
                  </w:r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</w:t>
                  </w: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финишировал, </w:t>
                  </w:r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C</w:t>
                  </w: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отставал на 10 м. </w:t>
                  </w:r>
                  <w:proofErr w:type="gramStart"/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сколько</w:t>
                  </w:r>
                  <w:proofErr w:type="gramEnd"/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отставал </w:t>
                  </w:r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C</w:t>
                  </w: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 </w:t>
                  </w:r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когда </w:t>
                  </w:r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закончил бег?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 19 метров.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 каждых 10 метрах бега бегуна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бегун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отстаёт от него на 1 метр. Поэтому, когда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финишировал,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отставал от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 10 метров, а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отставал от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 9 метров. Значит,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отставал от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 19 метров.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б) В одном магазине цены уменьшили на 10%, а потом ещё на 10% (от нового уровня). А </w:t>
                  </w:r>
                  <w:proofErr w:type="gramStart"/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другом</w:t>
                  </w:r>
                  <w:proofErr w:type="gramEnd"/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цены просто сразу снизили на 20%. Что выгоднее для покупателя?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Выгоднее совершать покупки во втором магазине.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Уменьшить число на 10% — то же самое, что умножить его на 0,9; уменьшить на 20% — умножить на 0,8. Таким образом, если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— начальная цена товара, то после понижения в первом магазине она станет равна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0,9 · 0,9 ·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0,81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то время как во втором магазине — 0,8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весну Обломов сбавил в весе 25%, за лето прибавил 20%, за осень похудел на 10%, а за зиму прибавил 20%. Похудел он или поправился за год?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Похудел.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Если принять за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начальный вес Обломова, то к концу весны Обломов весил 0,75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к концу лета — 1,2 · 0,75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к концу осени — 0,9 · 1,2 · 0,75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а к концу года —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1,2 · 0,9 · 1,2 · 0,75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0,972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&lt;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Вода Тихого Океана содержит 3,5% соли (по весу). Сколько пресной воды надо прибавить к 40 кг такой воды, чтобы содержание соли в смеси составило 0,5%?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240 литров.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Для начала найдём массу соли в 40 кг морской воды. Она равна 40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: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100 · 3,5 = 1,4 кг. Столько же соли получится и в смеси, которую нам нужно получить (ведь добавляем мы пресную воду). Найдём массу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этой смеси, зная, что 0,5% от неё равны 1,4 кг: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proofErr w:type="spellEnd"/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: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100 · 0,5 = 1,4.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Отсюда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280. Таким образом, нужно добавить 240 литров пресной воды.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22 килограммов свежих грибов получается 2,5 килограмма сухих грибов, содержащих 12% воды. Каков процент воды в свежих грибах?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90%.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Какое наименьшее число участников может быть в кружке левитации, если мальчиков в нём меньше 50%, но больше 40%?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7.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Обозначим общее число участников кружка буквой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а число мальчиков среди них — буквой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Тогда по условию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 &lt; (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 · 100 &lt; 50,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 есть 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&lt;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&lt; 2,5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Очевидно, при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1 и при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2 целого значения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удовлетворяющего этим неравенствам, не существует. При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3 такое значение уже есть. Это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7. При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&gt; 3 значения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очевидно, больше 7.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б) Для какого наименьшего натурального числа </w:t>
                  </w:r>
                  <w:proofErr w:type="spellStart"/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n</w:t>
                  </w:r>
                  <w:proofErr w:type="spellEnd"/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существует дробь со знаменателем </w:t>
                  </w:r>
                  <w:proofErr w:type="spellStart"/>
                  <w:r w:rsidRPr="009015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n</w:t>
                  </w:r>
                  <w:proofErr w:type="spellEnd"/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находящаяся между числами 0,4 и 0,5?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7.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Алик, Боря и Вася собирали грибы. Боря собрал грибов на 20% больше, чем Алик, но на 20% меньше, чем Вася. На сколько процентов больше, чем Алик, собрал грибов Вася?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 50%.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Боря собрал грибов на 20% больше, чем Алик, то есть Боря собрал в 1,2 раза больше грибов, чем Алик. Поскольку Боря собрал на 20% меньше грибов, чем Вася, то Боря собрал 0,8 от собранного Васей количества грибов, то есть Вася собрал в 1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: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0,8 = 1,25 раза больше, чем Боря. Учитывая, что Боря собрал в 1,2 раза больше, чем Алик, заключаем: Вася собрал грибов в 1,2 · 1,25 = 1,5 раза больше, чем Алик.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Обратите внимание: высказывания «число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х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 20% меньше числа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у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» и «число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у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 20% больше числа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х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» имеют разный смысл!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Предприятие получило задание за два года снизить на 51% объём выпускаемой продукции. Каждый год требуют снижать на одно и то же число процентов. На сколько?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 30%.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Уменьшить число 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сколько-то 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процентов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— это значит умножить его на некоторое число, меньшее единицы, а именно на число 1 – (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100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), где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показывает, на сколько процентов уменьшаем число. Пусть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— объём выпускаемой предприятием продукции. Тогда после уменьшения этого числа на 51% получим 0,49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 Такого же результата мы должны достичь двукратным понижением на одно 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 то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же число процентов, то есть двукратным умножением на некоторое число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: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· 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· M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0,49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M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Отсюда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0,7. Умножение числа на 0,7 — это уменьшение его на 30%.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сосуде было 20 литров спирта. Часть его отлили и долили столько же воды. Затем, перемешав, отлили такую же </w:t>
                  </w:r>
                  <w:proofErr w:type="gramStart"/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</w:t>
                  </w:r>
                  <w:proofErr w:type="gramEnd"/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сосуд опять долили водой. В сосуде спирта оказалось втрое меньше, чем воды. Какую часть отливали?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Половину.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Пусть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V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— первоначальный объём спирта (в нашем случае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V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20, но это не важно). Отлить какую-то его часть — значит умножить объём спирта на некоторое число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меньшее единицы (к примеру, отлить 1/7 — то же самое, что умножить имеющийся объём на 6/7). Таким образом, после первого отливания и добавления воды мы получили раствор объёмом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V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в котором содержится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wV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литров спирта. Поскольку спирт в этом растворе распределён равномерно по всему объёму, а отливали во второй раз такую же часть объёма раствора, как и в первый раз, то после второго отливания останется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V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литров спирта. При этом спирта оказалось втрое меньше, чем воды — значит, спирт занимает одну четвёртую объема всего раствора, который остался неизменным. Таким образом,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V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V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/4,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откуда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1/2.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51,2 трижды увеличивали на одно и то же число процентов, а затем трижды уменьшали на то же самое число процентов. В результате получилось число 21,6. На сколько процентов увеличивали, а затем уменьшали это число?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На 50%.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Пусть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— искомое число процентов. Увеличение числа на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%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равносильно его умножению на (1 +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100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), а уменьшение на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%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— умножению на (1 –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100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). Обозначим для краткости записи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/100 =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и составим уравнение: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51,2(1 +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)(1 +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)(1 +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)(1 –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)(1 –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)(1 –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 = 21,6,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((1 +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)(1 –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))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21,6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51,2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,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(1 –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27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64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(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4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,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1 –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4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,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1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4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,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1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,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100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w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50.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М.В. Ломоносов тратил одну денежку на хлеб и квас. Когда цены выросли на 20%, на ту же денежку он приобретал полхлеба и квас. Хватит ли той же денежки хотя бы на квас, если цены ещё раз вырастут на 20%?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Указание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Указание.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Примем денежку за единицу, стоимость хлеба обозначим буквой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а стоимость кваса — буквой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Составим уравнения: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+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1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— до повышения цен,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1,2(0,5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+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 = 1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— после повышения. Значит,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0,6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+ 1,2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1.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Теперь легко найти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и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а затем посчитать 1,2 · 1,2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y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— стоимость кваса после двух повышений цен.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Пройдя половину пути, катер увеличил скорость на 25% и поэтому прибыл на полчаса раньше. Сколько времени он двигался?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4,5 часа.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Пусть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t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— время, затраченное катером на первую половину пути. Вторую половину пути он шёл со скоростью, в 1,25 раза большей запланированной, а значит, затратил в 1,25 раза меньше времени, то есть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t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/1,25 = 0,8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t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Составим уравнение: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0,8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t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t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– 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1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2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Отсюда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t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2,5. Таким образом, первую половину пути катер прошёл за 2,5 часа, а вторую — за 2 часа.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16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сентябре проездной билет на метро стоил 800 рублей. В октябре стоимость билета увеличили, в результате чего число проданных билетов уменьшилось на 25%, а выручка от их продажи уменьшилась на 6,25%. Сколько стал стоить проездной билет в октябре?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9"/>
                  </w:tblGrid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570" w:rsidRPr="00901570" w:rsidRDefault="00901570" w:rsidP="00901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Ответ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</w:t>
                        </w:r>
                        <w:r w:rsidRPr="00901570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Решение</w:t>
                        </w: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Ответ.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1000 рублей.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1570" w:rsidRPr="00901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249"/>
                        </w:tblGrid>
                        <w:tr w:rsidR="00901570" w:rsidRPr="00901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6FF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t>Решение.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Пусть до повышения цены было продано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билетов, а выручка составила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s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рублей. Тогда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800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s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Пусть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рублей — новая цена билета. Поскольку после повышения цены было продано 0,75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билетов, а выручка составила </w:t>
                              </w: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s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— 0,0625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s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0,9375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s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рублей, то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0,75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nx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0,9375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s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0,9325 · 800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n</w:t>
                              </w: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Следовательно,</w:t>
                              </w:r>
                            </w:p>
                            <w:p w:rsidR="00901570" w:rsidRPr="00901570" w:rsidRDefault="00901570" w:rsidP="00901570">
                              <w:pPr>
                                <w:spacing w:after="168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= 0,9375 · 800</w:t>
                              </w:r>
                              <w:proofErr w:type="gramStart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:</w:t>
                              </w:r>
                              <w:proofErr w:type="gramEnd"/>
                              <w:r w:rsidRPr="00901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0,75 = 1000.</w:t>
                              </w:r>
                            </w:p>
                          </w:tc>
                        </w:tr>
                        <w:tr w:rsidR="00901570" w:rsidRPr="00901570">
                          <w:trPr>
                            <w:trHeight w:val="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570" w:rsidRPr="00901570" w:rsidRDefault="00901570" w:rsidP="00901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1570" w:rsidRPr="00901570" w:rsidRDefault="00901570" w:rsidP="00901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570" w:rsidRPr="00901570" w:rsidRDefault="00901570" w:rsidP="00901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1570" w:rsidRPr="00901570" w:rsidRDefault="00901570" w:rsidP="00901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90157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shd w:val="clear" w:color="auto" w:fill="DDEEFF"/>
            <w:hideMark/>
          </w:tcPr>
          <w:p w:rsidR="00901570" w:rsidRPr="00901570" w:rsidRDefault="00901570" w:rsidP="009015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FFFF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47750" cy="9525"/>
                  <wp:effectExtent l="0" t="0" r="0" b="0"/>
                  <wp:docPr id="7" name="Рисунок 7" descr="http://mmmf.msu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mmf.msu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004080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r w:rsidRPr="00901570"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  <w:t>АРХИВ 1999-2000</w:t>
            </w:r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1040BB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r w:rsidRPr="00901570"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  <w:t>КРУЖОК А.В. СПИВАКА ДЛЯ 6-7 КЛАССОВ</w:t>
            </w:r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25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Знакомство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26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Спички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27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Шутки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28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Разрезания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29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Возрасты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30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Сколько надо взять?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31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Гонки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32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Чётность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33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Логика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r w:rsidRPr="00901570"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  <w:t>Проценты</w:t>
            </w:r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34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Восемь задач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35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Суммы и средние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36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Составление уравнений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37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Принцип Дирихле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38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Обходы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39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Совместная трапеза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40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Делимость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41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Семь задач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42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Индукция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43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Игры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44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Деревья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45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Лингвистика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46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Периодичность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47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Комбинаторика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48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Задачи по комбинаторике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49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Парадоксы и софизмы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1040BB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r w:rsidRPr="00901570"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  <w:t>Домашние олимпиады</w:t>
            </w:r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50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Часть I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51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Часть II</w:t>
              </w:r>
            </w:hyperlink>
          </w:p>
          <w:p w:rsidR="00901570" w:rsidRPr="00901570" w:rsidRDefault="00901570" w:rsidP="00901570">
            <w:pPr>
              <w:numPr>
                <w:ilvl w:val="0"/>
                <w:numId w:val="2"/>
              </w:numPr>
              <w:shd w:val="clear" w:color="auto" w:fill="FFFFFF"/>
              <w:spacing w:before="15"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ru-RU"/>
              </w:rPr>
            </w:pPr>
            <w:hyperlink r:id="rId52" w:history="1">
              <w:r w:rsidRPr="00901570">
                <w:rPr>
                  <w:rFonts w:ascii="Verdana" w:eastAsia="Times New Roman" w:hAnsi="Verdana" w:cs="Times New Roman"/>
                  <w:color w:val="FFFFFF"/>
                  <w:sz w:val="24"/>
                  <w:szCs w:val="24"/>
                  <w:u w:val="single"/>
                  <w:lang w:eastAsia="ru-RU"/>
                </w:rPr>
                <w:t>Часть III</w:t>
              </w:r>
            </w:hyperlink>
          </w:p>
        </w:tc>
      </w:tr>
      <w:tr w:rsidR="00901570" w:rsidRPr="00901570" w:rsidTr="00901570">
        <w:trPr>
          <w:tblCellSpacing w:w="0" w:type="dxa"/>
        </w:trPr>
        <w:tc>
          <w:tcPr>
            <w:tcW w:w="0" w:type="auto"/>
            <w:gridSpan w:val="3"/>
            <w:shd w:val="clear" w:color="auto" w:fill="C0D0E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5"/>
              <w:gridCol w:w="1260"/>
              <w:gridCol w:w="1260"/>
              <w:gridCol w:w="1260"/>
            </w:tblGrid>
            <w:tr w:rsidR="00901570" w:rsidRPr="00901570">
              <w:trPr>
                <w:tblCellSpacing w:w="0" w:type="dxa"/>
              </w:trPr>
              <w:tc>
                <w:tcPr>
                  <w:tcW w:w="0" w:type="auto"/>
                  <w:shd w:val="clear" w:color="auto" w:fill="C0D0E0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0157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Вы видите ошибку? Выделите её и нажмите </w:t>
                  </w:r>
                  <w:proofErr w:type="spellStart"/>
                  <w:r w:rsidRPr="0090157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Ctrl+Enter</w:t>
                  </w:r>
                  <w:proofErr w:type="spellEnd"/>
                  <w:r w:rsidRPr="0090157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!</w:t>
                  </w:r>
                  <w:r w:rsidRPr="009015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shd w:val="clear" w:color="auto" w:fill="C0D0E0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0" cy="142875"/>
                        <wp:effectExtent l="19050" t="0" r="0" b="0"/>
                        <wp:docPr id="8" name="Рисунок 8" descr="Rambler's Top100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Rambler's Top100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015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0" cy="142875"/>
                        <wp:effectExtent l="19050" t="0" r="0" b="0"/>
                        <wp:docPr id="9" name="Рисунок 9" descr="liveinternet.ru">
                          <a:hlinkClick xmlns:a="http://schemas.openxmlformats.org/drawingml/2006/main" r:id="rId5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iveinternet.ru">
                                  <a:hlinkClick r:id="rId5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5" w:type="dxa"/>
                  <w:shd w:val="clear" w:color="auto" w:fill="C0D0E0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0" cy="142875"/>
                        <wp:effectExtent l="19050" t="0" r="0" b="0"/>
                        <wp:docPr id="10" name="Рисунок 10" descr="Apache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Apache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015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0" cy="142875"/>
                        <wp:effectExtent l="19050" t="0" r="0" b="0"/>
                        <wp:docPr id="11" name="Рисунок 11" descr="PHP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PHP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5" w:type="dxa"/>
                  <w:shd w:val="clear" w:color="auto" w:fill="C0D0E0"/>
                  <w:vAlign w:val="center"/>
                  <w:hideMark/>
                </w:tcPr>
                <w:p w:rsidR="00901570" w:rsidRPr="00901570" w:rsidRDefault="00901570" w:rsidP="00901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0" cy="142875"/>
                        <wp:effectExtent l="19050" t="0" r="0" b="0"/>
                        <wp:docPr id="12" name="Рисунок 12" descr="HTML 4.01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ML 4.01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015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0" cy="142875"/>
                        <wp:effectExtent l="19050" t="0" r="0" b="0"/>
                        <wp:docPr id="13" name="Рисунок 13" descr="CSS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SS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1570" w:rsidRPr="00901570" w:rsidRDefault="00901570" w:rsidP="009015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7298" w:rsidRDefault="007F7298"/>
    <w:sectPr w:rsidR="007F7298" w:rsidSect="007F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5AAF"/>
    <w:multiLevelType w:val="multilevel"/>
    <w:tmpl w:val="4A3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34E0"/>
    <w:multiLevelType w:val="multilevel"/>
    <w:tmpl w:val="AAD4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1570"/>
    <w:rsid w:val="007F7298"/>
    <w:rsid w:val="0090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98"/>
  </w:style>
  <w:style w:type="paragraph" w:styleId="1">
    <w:name w:val="heading 1"/>
    <w:basedOn w:val="a"/>
    <w:link w:val="10"/>
    <w:uiPriority w:val="9"/>
    <w:qFormat/>
    <w:rsid w:val="00901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01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15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015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1570"/>
    <w:rPr>
      <w:color w:val="800080"/>
      <w:u w:val="single"/>
    </w:rPr>
  </w:style>
  <w:style w:type="paragraph" w:customStyle="1" w:styleId="epigraf">
    <w:name w:val="epigraf"/>
    <w:basedOn w:val="a"/>
    <w:rsid w:val="0090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0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">
    <w:name w:val="comm"/>
    <w:basedOn w:val="a"/>
    <w:rsid w:val="0090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157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0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://mmmf.msu.ru/for_schools/" TargetMode="External"/><Relationship Id="rId26" Type="http://schemas.openxmlformats.org/officeDocument/2006/relationships/hyperlink" Target="http://mmmf.msu.ru/archive/19992000/spivak67/s_spich.html" TargetMode="External"/><Relationship Id="rId39" Type="http://schemas.openxmlformats.org/officeDocument/2006/relationships/hyperlink" Target="http://mmmf.msu.ru/archive/19992000/spivak67/s_trap.html" TargetMode="External"/><Relationship Id="rId21" Type="http://schemas.openxmlformats.org/officeDocument/2006/relationships/hyperlink" Target="http://mmmf.msu.ru/archive/" TargetMode="External"/><Relationship Id="rId34" Type="http://schemas.openxmlformats.org/officeDocument/2006/relationships/hyperlink" Target="http://mmmf.msu.ru/archive/19992000/spivak67/s_8.html" TargetMode="External"/><Relationship Id="rId42" Type="http://schemas.openxmlformats.org/officeDocument/2006/relationships/hyperlink" Target="http://mmmf.msu.ru/archive/19992000/spivak67/s_ind.html" TargetMode="External"/><Relationship Id="rId47" Type="http://schemas.openxmlformats.org/officeDocument/2006/relationships/hyperlink" Target="http://mmmf.msu.ru/archive/19992000/spivak67/s_comb.html" TargetMode="External"/><Relationship Id="rId50" Type="http://schemas.openxmlformats.org/officeDocument/2006/relationships/hyperlink" Target="http://mmmf.msu.ru/archive/19992000/spivak67/s_isol1.html" TargetMode="External"/><Relationship Id="rId55" Type="http://schemas.openxmlformats.org/officeDocument/2006/relationships/hyperlink" Target="http://www.liveinternet.ru/click" TargetMode="External"/><Relationship Id="rId63" Type="http://schemas.openxmlformats.org/officeDocument/2006/relationships/hyperlink" Target="http://jigsaw.w3.org/css-validator/validator?uri=mmmf.math.msu.su" TargetMode="Externa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hyperlink" Target="http://mmmf.msu.ru/lect/lect.html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http://mmmf.msu.ru/archive/19992000/spivak67/s_ages.html" TargetMode="External"/><Relationship Id="rId41" Type="http://schemas.openxmlformats.org/officeDocument/2006/relationships/hyperlink" Target="http://mmmf.msu.ru/archive/19992000/spivak67/s_7.html" TargetMode="External"/><Relationship Id="rId54" Type="http://schemas.openxmlformats.org/officeDocument/2006/relationships/image" Target="media/image5.gif"/><Relationship Id="rId62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mmmf.msu.ru/" TargetMode="External"/><Relationship Id="rId11" Type="http://schemas.openxmlformats.org/officeDocument/2006/relationships/hyperlink" Target="http://mmmf.msu.ru/" TargetMode="External"/><Relationship Id="rId24" Type="http://schemas.openxmlformats.org/officeDocument/2006/relationships/hyperlink" Target="http://mmmf.msu.ru/search/" TargetMode="External"/><Relationship Id="rId32" Type="http://schemas.openxmlformats.org/officeDocument/2006/relationships/hyperlink" Target="http://mmmf.msu.ru/archive/19992000/spivak67/s_chet.html" TargetMode="External"/><Relationship Id="rId37" Type="http://schemas.openxmlformats.org/officeDocument/2006/relationships/hyperlink" Target="http://mmmf.msu.ru/archive/19992000/spivak67/s_diri.html" TargetMode="External"/><Relationship Id="rId40" Type="http://schemas.openxmlformats.org/officeDocument/2006/relationships/hyperlink" Target="http://mmmf.msu.ru/archive/19992000/spivak67/s_delim.html" TargetMode="External"/><Relationship Id="rId45" Type="http://schemas.openxmlformats.org/officeDocument/2006/relationships/hyperlink" Target="http://mmmf.msu.ru/archive/19992000/spivak67/s_ling.html" TargetMode="External"/><Relationship Id="rId53" Type="http://schemas.openxmlformats.org/officeDocument/2006/relationships/hyperlink" Target="http://top100.rambler.ru/top100/" TargetMode="External"/><Relationship Id="rId58" Type="http://schemas.openxmlformats.org/officeDocument/2006/relationships/image" Target="media/image7.gif"/><Relationship Id="rId66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http://mmmf.msu.ru/links/" TargetMode="External"/><Relationship Id="rId28" Type="http://schemas.openxmlformats.org/officeDocument/2006/relationships/hyperlink" Target="http://mmmf.msu.ru/archive/19992000/spivak67/s_razrez.html" TargetMode="External"/><Relationship Id="rId36" Type="http://schemas.openxmlformats.org/officeDocument/2006/relationships/hyperlink" Target="http://mmmf.msu.ru/archive/19992000/spivak67/s_urav.html" TargetMode="External"/><Relationship Id="rId49" Type="http://schemas.openxmlformats.org/officeDocument/2006/relationships/hyperlink" Target="http://mmmf.msu.ru/archive/19992000/spivak67/s_parad.html" TargetMode="External"/><Relationship Id="rId57" Type="http://schemas.openxmlformats.org/officeDocument/2006/relationships/hyperlink" Target="http://httpd.apache.org/" TargetMode="External"/><Relationship Id="rId61" Type="http://schemas.openxmlformats.org/officeDocument/2006/relationships/hyperlink" Target="http://validator.w3.org/check/referer?outline=1&amp;verbose=1&amp;ss=1" TargetMode="External"/><Relationship Id="rId10" Type="http://schemas.openxmlformats.org/officeDocument/2006/relationships/image" Target="media/image4.gif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http://mmmf.msu.ru/archive/19992000/spivak67/s_gonki.html" TargetMode="External"/><Relationship Id="rId44" Type="http://schemas.openxmlformats.org/officeDocument/2006/relationships/hyperlink" Target="http://mmmf.msu.ru/archive/19992000/spivak67/s_trees.html" TargetMode="External"/><Relationship Id="rId52" Type="http://schemas.openxmlformats.org/officeDocument/2006/relationships/hyperlink" Target="http://mmmf.msu.ru/archive/19992000/spivak67/s_isol3.html" TargetMode="External"/><Relationship Id="rId60" Type="http://schemas.openxmlformats.org/officeDocument/2006/relationships/image" Target="media/image8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register.mmmf.msu.ru/" TargetMode="External"/><Relationship Id="rId22" Type="http://schemas.openxmlformats.org/officeDocument/2006/relationships/hyperlink" Target="http://mmmf.msu.ru/books/" TargetMode="External"/><Relationship Id="rId27" Type="http://schemas.openxmlformats.org/officeDocument/2006/relationships/hyperlink" Target="http://mmmf.msu.ru/archive/19992000/spivak67/s_jokes.html" TargetMode="External"/><Relationship Id="rId30" Type="http://schemas.openxmlformats.org/officeDocument/2006/relationships/hyperlink" Target="http://mmmf.msu.ru/archive/19992000/spivak67/s_skvz.html" TargetMode="External"/><Relationship Id="rId35" Type="http://schemas.openxmlformats.org/officeDocument/2006/relationships/hyperlink" Target="http://mmmf.msu.ru/archive/19992000/spivak67/s_summy.html" TargetMode="External"/><Relationship Id="rId43" Type="http://schemas.openxmlformats.org/officeDocument/2006/relationships/hyperlink" Target="http://mmmf.msu.ru/archive/19992000/spivak67/s_games.html" TargetMode="External"/><Relationship Id="rId48" Type="http://schemas.openxmlformats.org/officeDocument/2006/relationships/hyperlink" Target="http://mmmf.msu.ru/archive/19992000/spivak67/s_combz.html" TargetMode="External"/><Relationship Id="rId56" Type="http://schemas.openxmlformats.org/officeDocument/2006/relationships/image" Target="media/image6.gif"/><Relationship Id="rId64" Type="http://schemas.openxmlformats.org/officeDocument/2006/relationships/image" Target="media/image10.png"/><Relationship Id="rId8" Type="http://schemas.openxmlformats.org/officeDocument/2006/relationships/hyperlink" Target="http://mmmf.msu.ru/" TargetMode="External"/><Relationship Id="rId51" Type="http://schemas.openxmlformats.org/officeDocument/2006/relationships/hyperlink" Target="http://mmmf.msu.ru/archive/19992000/spivak67/s_isol2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mmf.msu.ru/circles/" TargetMode="External"/><Relationship Id="rId17" Type="http://schemas.openxmlformats.org/officeDocument/2006/relationships/hyperlink" Target="http://mmmf.msu.ru/time-table/biology19-20.html" TargetMode="External"/><Relationship Id="rId25" Type="http://schemas.openxmlformats.org/officeDocument/2006/relationships/hyperlink" Target="http://mmmf.msu.ru/archive/19992000/spivak67/s_znak.html" TargetMode="External"/><Relationship Id="rId33" Type="http://schemas.openxmlformats.org/officeDocument/2006/relationships/hyperlink" Target="http://mmmf.msu.ru/archive/19992000/spivak67/s_logika.html" TargetMode="External"/><Relationship Id="rId38" Type="http://schemas.openxmlformats.org/officeDocument/2006/relationships/hyperlink" Target="http://mmmf.msu.ru/archive/19992000/spivak67/s_obhod.html" TargetMode="External"/><Relationship Id="rId46" Type="http://schemas.openxmlformats.org/officeDocument/2006/relationships/hyperlink" Target="http://mmmf.msu.ru/archive/19992000/spivak67/s_period.html" TargetMode="External"/><Relationship Id="rId59" Type="http://schemas.openxmlformats.org/officeDocument/2006/relationships/hyperlink" Target="http://www.php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1990</Words>
  <Characters>11349</Characters>
  <Application>Microsoft Office Word</Application>
  <DocSecurity>0</DocSecurity>
  <Lines>94</Lines>
  <Paragraphs>26</Paragraphs>
  <ScaleCrop>false</ScaleCrop>
  <Company/>
  <LinksUpToDate>false</LinksUpToDate>
  <CharactersWithSpaces>13313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2020-07-24T14:13:00Z</dcterms:created>
  <dcterms:modified xsi:type="dcterms:W3CDTF">2020-07-24T14:13:00Z</dcterms:modified>
</cp:coreProperties>
</file>