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2183F" w14:textId="77777777" w:rsidR="00B553E7" w:rsidRDefault="00B553E7" w:rsidP="00B553E7">
      <w:pPr>
        <w:rPr>
          <w:b/>
          <w:sz w:val="40"/>
          <w:szCs w:val="40"/>
        </w:rPr>
      </w:pPr>
      <w:r w:rsidRPr="00CF4088">
        <w:rPr>
          <w:rFonts w:cs="Times"/>
          <w:b/>
          <w:noProof/>
          <w:color w:val="000000"/>
          <w:sz w:val="40"/>
          <w:szCs w:val="40"/>
          <w:lang w:eastAsia="fr-FR"/>
        </w:rPr>
        <w:drawing>
          <wp:anchor distT="0" distB="0" distL="114300" distR="114300" simplePos="0" relativeHeight="251659264" behindDoc="0" locked="0" layoutInCell="1" allowOverlap="1" wp14:anchorId="24BC997A" wp14:editId="7258B642">
            <wp:simplePos x="0" y="0"/>
            <wp:positionH relativeFrom="column">
              <wp:posOffset>-17145</wp:posOffset>
            </wp:positionH>
            <wp:positionV relativeFrom="paragraph">
              <wp:posOffset>184785</wp:posOffset>
            </wp:positionV>
            <wp:extent cx="2245995" cy="1122680"/>
            <wp:effectExtent l="0" t="0" r="0" b="0"/>
            <wp:wrapTight wrapText="bothSides">
              <wp:wrapPolygon edited="0">
                <wp:start x="0" y="0"/>
                <wp:lineTo x="0" y="21014"/>
                <wp:lineTo x="21252" y="21014"/>
                <wp:lineTo x="21252"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995"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057D">
        <w:rPr>
          <w:b/>
          <w:sz w:val="40"/>
          <w:szCs w:val="40"/>
        </w:rPr>
        <w:t>Séance 2 : droits et obligation</w:t>
      </w:r>
      <w:r>
        <w:rPr>
          <w:b/>
          <w:sz w:val="40"/>
          <w:szCs w:val="40"/>
        </w:rPr>
        <w:t>s</w:t>
      </w:r>
    </w:p>
    <w:p w14:paraId="3648CD4E" w14:textId="77777777" w:rsidR="00B553E7" w:rsidRPr="0075057D" w:rsidRDefault="00B553E7" w:rsidP="00B553E7">
      <w:pPr>
        <w:rPr>
          <w:b/>
          <w:sz w:val="40"/>
          <w:szCs w:val="40"/>
        </w:rPr>
      </w:pPr>
    </w:p>
    <w:p w14:paraId="21F8E774" w14:textId="77777777" w:rsidR="00B553E7" w:rsidRPr="00741A49" w:rsidRDefault="00B553E7" w:rsidP="00B553E7">
      <w:pPr>
        <w:shd w:val="clear" w:color="auto" w:fill="FF0000"/>
        <w:rPr>
          <w:color w:val="FFFFFF" w:themeColor="background1"/>
        </w:rPr>
      </w:pPr>
      <w:r w:rsidRPr="00741A49">
        <w:rPr>
          <w:b/>
          <w:color w:val="FFFFFF" w:themeColor="background1"/>
        </w:rPr>
        <w:t>Objectif</w:t>
      </w:r>
      <w:r w:rsidRPr="00741A49">
        <w:rPr>
          <w:color w:val="FFFFFF" w:themeColor="background1"/>
        </w:rPr>
        <w:t> : le respect d’une composante fondamentale de l’ordre public nécessite de limiter l’exercice d’une liberté, par exemple la liberté d’expression. Au nom de l’intérêt général, le maire peut par exemple prendre un arrêter pour préserver l’ordre public.</w:t>
      </w:r>
    </w:p>
    <w:p w14:paraId="64D416DE" w14:textId="77777777" w:rsidR="00B553E7" w:rsidRDefault="00B553E7" w:rsidP="00B553E7"/>
    <w:p w14:paraId="377E38A9" w14:textId="77777777" w:rsidR="00B553E7" w:rsidRDefault="00B553E7" w:rsidP="00B553E7">
      <w:pPr>
        <w:rPr>
          <w:b/>
        </w:rPr>
      </w:pPr>
    </w:p>
    <w:p w14:paraId="00508876" w14:textId="77777777" w:rsidR="00B553E7" w:rsidRDefault="00B553E7" w:rsidP="00B553E7">
      <w:pPr>
        <w:rPr>
          <w:b/>
        </w:rPr>
      </w:pPr>
      <w:bookmarkStart w:id="0" w:name="_GoBack"/>
      <w:bookmarkEnd w:id="0"/>
      <w:r>
        <w:rPr>
          <w:b/>
        </w:rPr>
        <w:t>Manuel l’éducation au droit + Magister</w:t>
      </w:r>
    </w:p>
    <w:p w14:paraId="2C8FBAE9" w14:textId="77777777" w:rsidR="00B553E7" w:rsidRDefault="00B553E7" w:rsidP="00B553E7">
      <w:pPr>
        <w:rPr>
          <w:b/>
        </w:rPr>
      </w:pPr>
    </w:p>
    <w:p w14:paraId="21023E49" w14:textId="77777777" w:rsidR="00B553E7" w:rsidRPr="00741A49" w:rsidRDefault="00B553E7" w:rsidP="00B553E7">
      <w:pPr>
        <w:rPr>
          <w:b/>
        </w:rPr>
      </w:pPr>
      <w:r w:rsidRPr="00741A49">
        <w:rPr>
          <w:b/>
        </w:rPr>
        <w:t xml:space="preserve">Ressources supplémentaires : </w:t>
      </w:r>
    </w:p>
    <w:p w14:paraId="6E1C3CE0" w14:textId="77777777" w:rsidR="00B553E7" w:rsidRDefault="00B553E7" w:rsidP="00B553E7">
      <w:proofErr w:type="spellStart"/>
      <w:r>
        <w:t>Clemi</w:t>
      </w:r>
      <w:proofErr w:type="spellEnd"/>
      <w:r>
        <w:t xml:space="preserve"> cyber harcèlement : </w:t>
      </w:r>
      <w:hyperlink r:id="rId6" w:history="1">
        <w:r w:rsidRPr="00006793">
          <w:rPr>
            <w:rStyle w:val="Lienhypertexte"/>
          </w:rPr>
          <w:t>https://www.clemi.fr/familles/videos-et-audios/la-serie-la-famille-tout-ecran/lutter-contre-le-cyberharcelement</w:t>
        </w:r>
      </w:hyperlink>
    </w:p>
    <w:p w14:paraId="4C584CB8" w14:textId="77777777" w:rsidR="00B553E7" w:rsidRDefault="00B553E7" w:rsidP="00B553E7"/>
    <w:p w14:paraId="728405AF" w14:textId="77777777" w:rsidR="00B553E7" w:rsidRDefault="00B553E7" w:rsidP="00B553E7">
      <w:hyperlink r:id="rId7" w:history="1">
        <w:r w:rsidRPr="00006793">
          <w:rPr>
            <w:rStyle w:val="Lienhypertexte"/>
          </w:rPr>
          <w:t>https://</w:t>
        </w:r>
        <w:proofErr w:type="spellStart"/>
        <w:r w:rsidRPr="00006793">
          <w:rPr>
            <w:rStyle w:val="Lienhypertexte"/>
          </w:rPr>
          <w:t>internetsanscrainte.fr</w:t>
        </w:r>
        <w:proofErr w:type="spellEnd"/>
        <w:r w:rsidRPr="00006793">
          <w:rPr>
            <w:rStyle w:val="Lienhypertexte"/>
          </w:rPr>
          <w:t>/programmes/kits-</w:t>
        </w:r>
        <w:proofErr w:type="spellStart"/>
        <w:r w:rsidRPr="00006793">
          <w:rPr>
            <w:rStyle w:val="Lienhypertexte"/>
          </w:rPr>
          <w:t>safer</w:t>
        </w:r>
        <w:proofErr w:type="spellEnd"/>
        <w:r w:rsidRPr="00006793">
          <w:rPr>
            <w:rStyle w:val="Lienhypertexte"/>
          </w:rPr>
          <w:t>-internet-</w:t>
        </w:r>
        <w:proofErr w:type="spellStart"/>
        <w:r w:rsidRPr="00006793">
          <w:rPr>
            <w:rStyle w:val="Lienhypertexte"/>
          </w:rPr>
          <w:t>day</w:t>
        </w:r>
        <w:proofErr w:type="spellEnd"/>
      </w:hyperlink>
    </w:p>
    <w:p w14:paraId="4DDAF86B" w14:textId="77777777" w:rsidR="00B553E7" w:rsidRDefault="00B553E7" w:rsidP="00B553E7"/>
    <w:p w14:paraId="647905CC" w14:textId="77777777" w:rsidR="00B553E7" w:rsidRDefault="00B553E7" w:rsidP="00B553E7">
      <w:hyperlink r:id="rId8" w:history="1">
        <w:r w:rsidRPr="00006793">
          <w:rPr>
            <w:rStyle w:val="Lienhypertexte"/>
          </w:rPr>
          <w:t>https://</w:t>
        </w:r>
        <w:proofErr w:type="spellStart"/>
        <w:r w:rsidRPr="00006793">
          <w:rPr>
            <w:rStyle w:val="Lienhypertexte"/>
          </w:rPr>
          <w:t>www.education.gouv.fr</w:t>
        </w:r>
        <w:proofErr w:type="spellEnd"/>
        <w:r w:rsidRPr="00006793">
          <w:rPr>
            <w:rStyle w:val="Lienhypertexte"/>
          </w:rPr>
          <w:t>/non-au-</w:t>
        </w:r>
        <w:proofErr w:type="spellStart"/>
        <w:r w:rsidRPr="00006793">
          <w:rPr>
            <w:rStyle w:val="Lienhypertexte"/>
          </w:rPr>
          <w:t>harcelement</w:t>
        </w:r>
        <w:proofErr w:type="spellEnd"/>
      </w:hyperlink>
    </w:p>
    <w:p w14:paraId="11E056A7" w14:textId="77777777" w:rsidR="00B553E7" w:rsidRDefault="00B553E7" w:rsidP="00B553E7"/>
    <w:p w14:paraId="6668FB97" w14:textId="77777777" w:rsidR="00B553E7" w:rsidRDefault="00B553E7" w:rsidP="00B553E7"/>
    <w:p w14:paraId="6488AF2A" w14:textId="77777777" w:rsidR="00B553E7" w:rsidRDefault="00B553E7" w:rsidP="00B553E7"/>
    <w:p w14:paraId="6AB4B9E5" w14:textId="77777777" w:rsidR="00B553E7" w:rsidRDefault="00B553E7" w:rsidP="00B553E7">
      <w:pPr>
        <w:rPr>
          <w:b/>
        </w:rPr>
      </w:pPr>
      <w:r w:rsidRPr="00923A0E">
        <w:rPr>
          <w:b/>
        </w:rPr>
        <w:t xml:space="preserve">Comme tous citoyens, les collégiens sont des sujets de droit : </w:t>
      </w:r>
    </w:p>
    <w:p w14:paraId="324C65A7" w14:textId="77777777" w:rsidR="00B553E7" w:rsidRDefault="00B553E7" w:rsidP="00B553E7">
      <w:pPr>
        <w:rPr>
          <w:b/>
        </w:rPr>
      </w:pPr>
    </w:p>
    <w:p w14:paraId="37E47AE1" w14:textId="77777777" w:rsidR="00B553E7" w:rsidRPr="00923A0E" w:rsidRDefault="00B553E7" w:rsidP="00B553E7">
      <w:pPr>
        <w:rPr>
          <w:b/>
        </w:rPr>
      </w:pPr>
    </w:p>
    <w:p w14:paraId="534AE0F4" w14:textId="77777777" w:rsidR="00B553E7" w:rsidRDefault="00B553E7" w:rsidP="00B553E7">
      <w:r w:rsidRPr="00923A0E">
        <w:rPr>
          <w:noProof/>
          <w:lang w:eastAsia="fr-FR"/>
        </w:rPr>
        <w:drawing>
          <wp:inline distT="0" distB="0" distL="0" distR="0" wp14:anchorId="5054F31E" wp14:editId="65FFAA86">
            <wp:extent cx="6536055" cy="3854185"/>
            <wp:effectExtent l="0" t="0" r="0"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45012" cy="3859467"/>
                    </a:xfrm>
                    <a:prstGeom prst="rect">
                      <a:avLst/>
                    </a:prstGeom>
                  </pic:spPr>
                </pic:pic>
              </a:graphicData>
            </a:graphic>
          </wp:inline>
        </w:drawing>
      </w:r>
    </w:p>
    <w:p w14:paraId="7AA4DAF6" w14:textId="77777777" w:rsidR="00B553E7" w:rsidRDefault="00B553E7" w:rsidP="00B553E7">
      <w:pPr>
        <w:jc w:val="both"/>
        <w:rPr>
          <w:b/>
          <w:color w:val="FF0000"/>
          <w:sz w:val="32"/>
        </w:rPr>
      </w:pPr>
    </w:p>
    <w:p w14:paraId="217105E8" w14:textId="77777777" w:rsidR="00B553E7" w:rsidRDefault="00B553E7" w:rsidP="00B553E7">
      <w:pPr>
        <w:jc w:val="both"/>
        <w:rPr>
          <w:b/>
          <w:color w:val="FF0000"/>
          <w:sz w:val="32"/>
        </w:rPr>
      </w:pPr>
    </w:p>
    <w:p w14:paraId="07FC568C" w14:textId="77777777" w:rsidR="00B553E7" w:rsidRDefault="00B553E7" w:rsidP="00B553E7">
      <w:pPr>
        <w:jc w:val="both"/>
        <w:rPr>
          <w:b/>
          <w:color w:val="FF0000"/>
          <w:sz w:val="32"/>
        </w:rPr>
      </w:pPr>
    </w:p>
    <w:p w14:paraId="7690F459" w14:textId="77777777" w:rsidR="00B553E7" w:rsidRDefault="00B553E7" w:rsidP="00B553E7">
      <w:pPr>
        <w:jc w:val="both"/>
        <w:rPr>
          <w:b/>
          <w:color w:val="FF0000"/>
          <w:sz w:val="32"/>
        </w:rPr>
      </w:pPr>
    </w:p>
    <w:p w14:paraId="31FB0314" w14:textId="77777777" w:rsidR="00B553E7" w:rsidRDefault="00B553E7" w:rsidP="00B553E7">
      <w:pPr>
        <w:jc w:val="both"/>
        <w:rPr>
          <w:b/>
          <w:color w:val="FF0000"/>
          <w:sz w:val="32"/>
        </w:rPr>
      </w:pPr>
    </w:p>
    <w:p w14:paraId="05B1DCC7" w14:textId="77777777" w:rsidR="00B553E7" w:rsidRDefault="00B553E7" w:rsidP="00B553E7">
      <w:pPr>
        <w:jc w:val="both"/>
        <w:rPr>
          <w:b/>
          <w:color w:val="FF0000"/>
          <w:sz w:val="32"/>
        </w:rPr>
      </w:pPr>
    </w:p>
    <w:p w14:paraId="136F6ED9" w14:textId="77777777" w:rsidR="00B553E7" w:rsidRDefault="00B553E7" w:rsidP="00B553E7">
      <w:pPr>
        <w:jc w:val="both"/>
        <w:rPr>
          <w:b/>
          <w:color w:val="FF0000"/>
          <w:sz w:val="32"/>
        </w:rPr>
      </w:pPr>
    </w:p>
    <w:p w14:paraId="34FC4948" w14:textId="77777777" w:rsidR="00B553E7" w:rsidRDefault="00B553E7" w:rsidP="00B553E7">
      <w:pPr>
        <w:jc w:val="both"/>
        <w:rPr>
          <w:b/>
          <w:color w:val="FF0000"/>
          <w:sz w:val="32"/>
        </w:rPr>
      </w:pPr>
    </w:p>
    <w:p w14:paraId="4D942FD0" w14:textId="77777777" w:rsidR="00B553E7" w:rsidRDefault="00B553E7" w:rsidP="00B553E7">
      <w:pPr>
        <w:jc w:val="both"/>
        <w:rPr>
          <w:b/>
          <w:color w:val="FF0000"/>
          <w:sz w:val="32"/>
        </w:rPr>
      </w:pPr>
    </w:p>
    <w:p w14:paraId="48FB248A" w14:textId="77777777" w:rsidR="00B553E7" w:rsidRDefault="00B553E7" w:rsidP="00B553E7">
      <w:pPr>
        <w:jc w:val="both"/>
        <w:rPr>
          <w:b/>
          <w:color w:val="FF0000"/>
          <w:sz w:val="32"/>
        </w:rPr>
      </w:pPr>
    </w:p>
    <w:p w14:paraId="65B5A423" w14:textId="77777777" w:rsidR="00B553E7" w:rsidRDefault="00B553E7" w:rsidP="00B553E7">
      <w:pPr>
        <w:jc w:val="both"/>
        <w:rPr>
          <w:b/>
          <w:color w:val="FF0000"/>
          <w:sz w:val="32"/>
        </w:rPr>
      </w:pPr>
    </w:p>
    <w:p w14:paraId="0466C309" w14:textId="77777777" w:rsidR="00B553E7" w:rsidRDefault="00B553E7" w:rsidP="00B553E7">
      <w:pPr>
        <w:jc w:val="both"/>
        <w:rPr>
          <w:b/>
          <w:color w:val="FF0000"/>
          <w:sz w:val="32"/>
        </w:rPr>
      </w:pPr>
    </w:p>
    <w:p w14:paraId="7554EE75" w14:textId="77777777" w:rsidR="00B553E7" w:rsidRDefault="00B553E7" w:rsidP="00B553E7">
      <w:pPr>
        <w:jc w:val="both"/>
        <w:rPr>
          <w:b/>
          <w:color w:val="FF0000"/>
          <w:sz w:val="32"/>
        </w:rPr>
      </w:pPr>
    </w:p>
    <w:p w14:paraId="564CF590" w14:textId="77777777" w:rsidR="00B553E7" w:rsidRDefault="00B553E7" w:rsidP="00B553E7">
      <w:pPr>
        <w:jc w:val="both"/>
        <w:rPr>
          <w:b/>
          <w:color w:val="FF0000"/>
          <w:sz w:val="32"/>
        </w:rPr>
      </w:pPr>
      <w:r w:rsidRPr="00C96408">
        <w:rPr>
          <w:b/>
          <w:color w:val="FF0000"/>
          <w:sz w:val="32"/>
        </w:rPr>
        <w:t>Déroulé</w:t>
      </w:r>
    </w:p>
    <w:p w14:paraId="61758747" w14:textId="77777777" w:rsidR="00B553E7" w:rsidRPr="00C96408" w:rsidRDefault="00B553E7" w:rsidP="00B553E7">
      <w:pPr>
        <w:jc w:val="both"/>
        <w:rPr>
          <w:b/>
          <w:color w:val="FF0000"/>
          <w:sz w:val="32"/>
        </w:rPr>
      </w:pPr>
    </w:p>
    <w:p w14:paraId="74D39332" w14:textId="77777777" w:rsidR="00B553E7" w:rsidRDefault="00B553E7" w:rsidP="00B553E7">
      <w:pPr>
        <w:rPr>
          <w:b/>
        </w:rPr>
      </w:pPr>
      <w:r>
        <w:rPr>
          <w:b/>
        </w:rPr>
        <w:t xml:space="preserve">Séance 2 : </w:t>
      </w:r>
      <w:r w:rsidRPr="00C96408">
        <w:rPr>
          <w:b/>
        </w:rPr>
        <w:t xml:space="preserve"> droits et les obligations</w:t>
      </w:r>
    </w:p>
    <w:p w14:paraId="73C2CE49" w14:textId="77777777" w:rsidR="00B553E7" w:rsidRDefault="00B553E7" w:rsidP="00B553E7">
      <w:pPr>
        <w:rPr>
          <w:b/>
        </w:rPr>
      </w:pPr>
    </w:p>
    <w:p w14:paraId="1370C0BB" w14:textId="77777777" w:rsidR="00B553E7" w:rsidRPr="00FD0F90" w:rsidRDefault="00B553E7" w:rsidP="00B553E7">
      <w:pPr>
        <w:pStyle w:val="Pardeliste"/>
        <w:numPr>
          <w:ilvl w:val="0"/>
          <w:numId w:val="3"/>
        </w:numPr>
        <w:rPr>
          <w:b/>
        </w:rPr>
      </w:pPr>
      <w:r w:rsidRPr="00FD0F90">
        <w:rPr>
          <w:b/>
        </w:rPr>
        <w:t>Vie privée : mes droits et mes obligations</w:t>
      </w:r>
    </w:p>
    <w:p w14:paraId="679E834C" w14:textId="77777777" w:rsidR="00B553E7" w:rsidRPr="00FD0F90" w:rsidRDefault="00B553E7" w:rsidP="00B553E7">
      <w:pPr>
        <w:rPr>
          <w:b/>
        </w:rPr>
      </w:pPr>
      <w:r w:rsidRPr="00FD0F90">
        <w:rPr>
          <w:b/>
        </w:rPr>
        <w:t>Amorce : Post-it à coller au tableau dans les deux colonnes à partir des droits et obligations au collège</w:t>
      </w:r>
    </w:p>
    <w:p w14:paraId="471FF1BF" w14:textId="77777777" w:rsidR="00B553E7" w:rsidRDefault="00B553E7" w:rsidP="00B553E7">
      <w:pPr>
        <w:pStyle w:val="Pardeliste"/>
        <w:numPr>
          <w:ilvl w:val="0"/>
          <w:numId w:val="2"/>
        </w:numPr>
        <w:rPr>
          <w:b/>
        </w:rPr>
      </w:pPr>
      <w:r w:rsidRPr="00FD0F90">
        <w:rPr>
          <w:b/>
        </w:rPr>
        <w:t xml:space="preserve">Exemple : le droit à l’image (lecture </w:t>
      </w:r>
    </w:p>
    <w:p w14:paraId="2F89FEE2" w14:textId="77777777" w:rsidR="00B553E7" w:rsidRPr="00FD0F90" w:rsidRDefault="00B553E7" w:rsidP="00B553E7">
      <w:pPr>
        <w:pStyle w:val="Pardeliste"/>
        <w:numPr>
          <w:ilvl w:val="0"/>
          <w:numId w:val="2"/>
        </w:numPr>
        <w:rPr>
          <w:b/>
        </w:rPr>
      </w:pPr>
      <w:r>
        <w:rPr>
          <w:b/>
        </w:rPr>
        <w:t>Réponses aux questions</w:t>
      </w:r>
    </w:p>
    <w:p w14:paraId="5C03FD6A" w14:textId="77777777" w:rsidR="00B553E7" w:rsidRDefault="00B553E7" w:rsidP="00B553E7">
      <w:pPr>
        <w:pStyle w:val="Pardeliste"/>
        <w:numPr>
          <w:ilvl w:val="0"/>
          <w:numId w:val="2"/>
        </w:numPr>
        <w:rPr>
          <w:b/>
        </w:rPr>
      </w:pPr>
      <w:r w:rsidRPr="00FD0F90">
        <w:rPr>
          <w:b/>
        </w:rPr>
        <w:t>Bilan : le mineur est une personnalité juridique : citoyens ; droits/obligations ; jouissance et exercice des droits</w:t>
      </w:r>
    </w:p>
    <w:p w14:paraId="201DB921" w14:textId="77777777" w:rsidR="00B553E7" w:rsidRPr="00FD0F90" w:rsidRDefault="00B553E7" w:rsidP="00B553E7">
      <w:pPr>
        <w:pStyle w:val="Pardeliste"/>
        <w:ind w:left="360"/>
        <w:rPr>
          <w:b/>
        </w:rPr>
      </w:pPr>
    </w:p>
    <w:p w14:paraId="2F53F6DD" w14:textId="77777777" w:rsidR="00B553E7" w:rsidRPr="00FD0F90" w:rsidRDefault="00B553E7" w:rsidP="00B553E7">
      <w:pPr>
        <w:pStyle w:val="Pardeliste"/>
        <w:numPr>
          <w:ilvl w:val="0"/>
          <w:numId w:val="3"/>
        </w:numPr>
        <w:rPr>
          <w:b/>
        </w:rPr>
      </w:pPr>
      <w:r w:rsidRPr="00FD0F90">
        <w:rPr>
          <w:b/>
        </w:rPr>
        <w:t>L’équilibre entre ma liberté et celle des autres : responsabilité des citoyens, respect de l’ordre public</w:t>
      </w:r>
    </w:p>
    <w:p w14:paraId="433247E3" w14:textId="77777777" w:rsidR="00B553E7" w:rsidRDefault="00B553E7" w:rsidP="00B553E7">
      <w:pPr>
        <w:pStyle w:val="Pardeliste"/>
        <w:ind w:left="360"/>
        <w:rPr>
          <w:b/>
        </w:rPr>
      </w:pPr>
      <w:r>
        <w:rPr>
          <w:b/>
        </w:rPr>
        <w:t>2) Lecture de l’arrêté sur le « lancer de nain » et réponses aux questions</w:t>
      </w:r>
    </w:p>
    <w:p w14:paraId="7AFCB3DE" w14:textId="77777777" w:rsidR="00B553E7" w:rsidRPr="00FD0F90" w:rsidRDefault="00B553E7" w:rsidP="00B553E7">
      <w:pPr>
        <w:pStyle w:val="Pardeliste"/>
        <w:numPr>
          <w:ilvl w:val="0"/>
          <w:numId w:val="4"/>
        </w:numPr>
        <w:rPr>
          <w:b/>
        </w:rPr>
      </w:pPr>
      <w:r>
        <w:rPr>
          <w:b/>
        </w:rPr>
        <w:t xml:space="preserve">Lecture d’un arrêté, affaire du lancer de nain : </w:t>
      </w:r>
      <w:r w:rsidRPr="00FD0F90">
        <w:rPr>
          <w:b/>
        </w:rPr>
        <w:t>La dignité humaine/l’ordre public/l’intérêt général</w:t>
      </w:r>
    </w:p>
    <w:p w14:paraId="4B8D34C6" w14:textId="77777777" w:rsidR="00B553E7" w:rsidRDefault="00B553E7" w:rsidP="00B553E7">
      <w:pPr>
        <w:pStyle w:val="Pardeliste"/>
        <w:numPr>
          <w:ilvl w:val="0"/>
          <w:numId w:val="4"/>
        </w:numPr>
        <w:rPr>
          <w:b/>
        </w:rPr>
      </w:pPr>
      <w:r>
        <w:rPr>
          <w:b/>
        </w:rPr>
        <w:t>Réponse aux questions</w:t>
      </w:r>
    </w:p>
    <w:p w14:paraId="032E63C7" w14:textId="77777777" w:rsidR="00B553E7" w:rsidRDefault="00B553E7" w:rsidP="00B553E7">
      <w:pPr>
        <w:pStyle w:val="Pardeliste"/>
        <w:numPr>
          <w:ilvl w:val="0"/>
          <w:numId w:val="4"/>
        </w:numPr>
        <w:rPr>
          <w:b/>
        </w:rPr>
      </w:pPr>
      <w:r>
        <w:rPr>
          <w:b/>
        </w:rPr>
        <w:t>Bilan : 4 composantes de l’ordre public</w:t>
      </w:r>
    </w:p>
    <w:p w14:paraId="25B68696" w14:textId="77777777" w:rsidR="00B553E7" w:rsidRDefault="00B553E7" w:rsidP="00B553E7">
      <w:pPr>
        <w:rPr>
          <w:b/>
        </w:rPr>
      </w:pPr>
      <w:r w:rsidRPr="00FD0F90">
        <w:rPr>
          <w:b/>
        </w:rPr>
        <w:t xml:space="preserve">Rappel de la vidéo de la séance 1 (Rebecca) : Diffuser une photographie d’un camarade pour l’humilier ? pour se moquer de lui ? </w:t>
      </w:r>
    </w:p>
    <w:p w14:paraId="6655F24C" w14:textId="77777777" w:rsidR="00B553E7" w:rsidRPr="00FD0F90" w:rsidRDefault="00B553E7" w:rsidP="00B553E7">
      <w:pPr>
        <w:rPr>
          <w:b/>
        </w:rPr>
      </w:pPr>
    </w:p>
    <w:p w14:paraId="0A3D3B3C" w14:textId="77777777" w:rsidR="00B553E7" w:rsidRDefault="00B553E7" w:rsidP="00B553E7">
      <w:pPr>
        <w:pStyle w:val="Pardeliste"/>
        <w:numPr>
          <w:ilvl w:val="0"/>
          <w:numId w:val="3"/>
        </w:numPr>
        <w:rPr>
          <w:b/>
        </w:rPr>
      </w:pPr>
      <w:r>
        <w:rPr>
          <w:b/>
        </w:rPr>
        <w:t>Quelles sanctions la loi prévoit-elle ? Les responsabilités civiles et pénales</w:t>
      </w:r>
    </w:p>
    <w:p w14:paraId="6A16164E" w14:textId="77777777" w:rsidR="00B553E7" w:rsidRPr="00FD0F90" w:rsidRDefault="00B553E7" w:rsidP="00B553E7">
      <w:pPr>
        <w:pStyle w:val="Pardeliste"/>
        <w:numPr>
          <w:ilvl w:val="0"/>
          <w:numId w:val="1"/>
        </w:numPr>
        <w:rPr>
          <w:b/>
        </w:rPr>
      </w:pPr>
      <w:r w:rsidRPr="00FD0F90">
        <w:rPr>
          <w:b/>
        </w:rPr>
        <w:t>Lecture d’extraits des codes et questions : dommages et intérêts pour réparation au civil ; amendes et sanctions pénales</w:t>
      </w:r>
    </w:p>
    <w:p w14:paraId="6C62A04D" w14:textId="77777777" w:rsidR="00B553E7" w:rsidRDefault="00B553E7" w:rsidP="00B553E7">
      <w:pPr>
        <w:pStyle w:val="Pardeliste"/>
        <w:numPr>
          <w:ilvl w:val="0"/>
          <w:numId w:val="1"/>
        </w:numPr>
        <w:rPr>
          <w:b/>
        </w:rPr>
      </w:pPr>
      <w:r>
        <w:rPr>
          <w:b/>
        </w:rPr>
        <w:t>Bilan : Responsabilité civile et pénale</w:t>
      </w:r>
    </w:p>
    <w:p w14:paraId="1EAC8E61" w14:textId="77777777" w:rsidR="00B553E7" w:rsidRDefault="00B553E7" w:rsidP="00B553E7">
      <w:pPr>
        <w:pStyle w:val="Pardeliste"/>
        <w:numPr>
          <w:ilvl w:val="0"/>
          <w:numId w:val="1"/>
        </w:numPr>
        <w:rPr>
          <w:b/>
        </w:rPr>
      </w:pPr>
      <w:r>
        <w:rPr>
          <w:b/>
        </w:rPr>
        <w:t>Tache finale : quels sont les droits et obligations des collégiens en matière de respect de la dignité humaine ? quelles sont les sanctions encourues ?</w:t>
      </w:r>
    </w:p>
    <w:p w14:paraId="5CDEE1FF" w14:textId="77777777" w:rsidR="00B553E7" w:rsidRDefault="00B553E7" w:rsidP="00B553E7">
      <w:pPr>
        <w:pStyle w:val="Pardeliste"/>
        <w:numPr>
          <w:ilvl w:val="0"/>
          <w:numId w:val="1"/>
        </w:numPr>
        <w:rPr>
          <w:b/>
        </w:rPr>
      </w:pPr>
      <w:r>
        <w:rPr>
          <w:b/>
        </w:rPr>
        <w:t>Quiz final</w:t>
      </w:r>
    </w:p>
    <w:p w14:paraId="6D90EDC4" w14:textId="77777777" w:rsidR="00B553E7" w:rsidRDefault="00B553E7" w:rsidP="00B553E7">
      <w:pPr>
        <w:rPr>
          <w:b/>
          <w:color w:val="FF0000"/>
          <w:sz w:val="28"/>
        </w:rPr>
      </w:pPr>
    </w:p>
    <w:p w14:paraId="6BFE7B40" w14:textId="77777777" w:rsidR="00C840F7" w:rsidRDefault="0083628B"/>
    <w:sectPr w:rsidR="00C840F7" w:rsidSect="00B553E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77DF8"/>
    <w:multiLevelType w:val="hybridMultilevel"/>
    <w:tmpl w:val="BE38E7B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6802516A"/>
    <w:multiLevelType w:val="hybridMultilevel"/>
    <w:tmpl w:val="4E0EF6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9095A7F"/>
    <w:multiLevelType w:val="hybridMultilevel"/>
    <w:tmpl w:val="85266E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5B62015"/>
    <w:multiLevelType w:val="hybridMultilevel"/>
    <w:tmpl w:val="EC40F292"/>
    <w:lvl w:ilvl="0" w:tplc="4C826742">
      <w:start w:val="1"/>
      <w:numFmt w:val="decimal"/>
      <w:lvlText w:val="%1."/>
      <w:lvlJc w:val="left"/>
      <w:pPr>
        <w:ind w:left="360" w:hanging="360"/>
      </w:pPr>
      <w:rPr>
        <w:rFonts w:asciiTheme="minorHAnsi" w:eastAsiaTheme="minorHAnsi" w:hAnsiTheme="minorHAnsi" w:cstheme="min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E7"/>
    <w:rsid w:val="00090C60"/>
    <w:rsid w:val="00531FDC"/>
    <w:rsid w:val="00607BC0"/>
    <w:rsid w:val="007B2284"/>
    <w:rsid w:val="008A29A0"/>
    <w:rsid w:val="00A30CDA"/>
    <w:rsid w:val="00B553E7"/>
    <w:rsid w:val="00BC0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1611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53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553E7"/>
    <w:rPr>
      <w:color w:val="0563C1" w:themeColor="hyperlink"/>
      <w:u w:val="single"/>
    </w:rPr>
  </w:style>
  <w:style w:type="paragraph" w:styleId="Pardeliste">
    <w:name w:val="List Paragraph"/>
    <w:basedOn w:val="Normal"/>
    <w:uiPriority w:val="34"/>
    <w:qFormat/>
    <w:rsid w:val="00B553E7"/>
    <w:pPr>
      <w:ind w:left="720"/>
      <w:contextualSpacing/>
    </w:pPr>
  </w:style>
  <w:style w:type="character" w:styleId="Lienhypertextevisit">
    <w:name w:val="FollowedHyperlink"/>
    <w:basedOn w:val="Policepardfaut"/>
    <w:uiPriority w:val="99"/>
    <w:semiHidden/>
    <w:unhideWhenUsed/>
    <w:rsid w:val="00B55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clemi.fr/familles/videos-et-audios/la-serie-la-famille-tout-ecran/lutter-contre-le-cyberharcelement" TargetMode="External"/><Relationship Id="rId7" Type="http://schemas.openxmlformats.org/officeDocument/2006/relationships/hyperlink" Target="https://internetsanscrainte.fr/programmes/kits-safer-internet-day" TargetMode="External"/><Relationship Id="rId8" Type="http://schemas.openxmlformats.org/officeDocument/2006/relationships/hyperlink" Target="https://www.education.gouv.fr/non-au-harcelement" TargetMode="Externa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1895</Characters>
  <Application>Microsoft Macintosh Word</Application>
  <DocSecurity>0</DocSecurity>
  <Lines>15</Lines>
  <Paragraphs>4</Paragraphs>
  <ScaleCrop>false</ScaleCrop>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2</cp:revision>
  <dcterms:created xsi:type="dcterms:W3CDTF">2024-05-20T15:22:00Z</dcterms:created>
  <dcterms:modified xsi:type="dcterms:W3CDTF">2024-05-20T15:24:00Z</dcterms:modified>
</cp:coreProperties>
</file>