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8FD43" w14:textId="4E06ABF6" w:rsidR="00AF0132" w:rsidRDefault="0092045C">
      <w:r>
        <w:t>Autres sujets de bac blanc pour correction</w:t>
      </w:r>
      <w:r w:rsidR="005E68E5">
        <w:t xml:space="preserve"> </w:t>
      </w:r>
      <w:proofErr w:type="gramStart"/>
      <w:r w:rsidR="005E68E5">
        <w:t>A.ROEMER</w:t>
      </w:r>
      <w:proofErr w:type="gramEnd"/>
    </w:p>
    <w:p w14:paraId="673D6AF6" w14:textId="219C3B01" w:rsidR="0092045C" w:rsidRDefault="0092045C">
      <w:r>
        <w:t>Partie 2 Sujet A</w:t>
      </w:r>
    </w:p>
    <w:p w14:paraId="23B13A19" w14:textId="77777777" w:rsidR="0092045C" w:rsidRPr="0092045C" w:rsidRDefault="0092045C" w:rsidP="0092045C">
      <w:pPr>
        <w:spacing w:after="0" w:line="240" w:lineRule="auto"/>
      </w:pPr>
      <w:r w:rsidRPr="0092045C">
        <w:t xml:space="preserve">Daniel Buren </w:t>
      </w:r>
    </w:p>
    <w:p w14:paraId="0980DFC4" w14:textId="5058D785" w:rsidR="0092045C" w:rsidRPr="0092045C" w:rsidRDefault="0092045C" w:rsidP="0092045C">
      <w:pPr>
        <w:spacing w:after="0" w:line="240" w:lineRule="auto"/>
      </w:pPr>
      <w:r w:rsidRPr="0092045C">
        <w:t xml:space="preserve">« Toucher à l'architecture d'un lieu, c'est toucher à son sens, son histoire... C'est indiquer beaucoup de choses de l'esprit du lieu qui ne sont pas uniquement reliées au formel. </w:t>
      </w:r>
    </w:p>
    <w:p w14:paraId="57D56B69" w14:textId="7B50D836" w:rsidR="0092045C" w:rsidRPr="0092045C" w:rsidRDefault="0092045C" w:rsidP="0092045C">
      <w:pPr>
        <w:spacing w:after="0" w:line="240" w:lineRule="auto"/>
      </w:pPr>
      <w:r w:rsidRPr="0092045C">
        <w:t>L'esprit du lieu implique le côté vivant, les personnes qui l'habitent, qui le fond fonctionner et cet aspect temporel et humain n'est pas sans conséquence. » (1998).</w:t>
      </w:r>
    </w:p>
    <w:p w14:paraId="5D7D0D3F" w14:textId="01905FC5" w:rsidR="0092045C" w:rsidRDefault="0092045C"/>
    <w:p w14:paraId="2B62D358" w14:textId="1D31205A" w:rsidR="0092045C" w:rsidRDefault="0092045C" w:rsidP="0092045C">
      <w:pPr>
        <w:spacing w:after="0" w:line="240" w:lineRule="auto"/>
      </w:pPr>
      <w:r>
        <w:t xml:space="preserve">Problématique : quel est </w:t>
      </w:r>
      <w:r w:rsidRPr="0092045C">
        <w:t>le rapport entre l’œuvre et son espace</w:t>
      </w:r>
      <w:r>
        <w:t> ?</w:t>
      </w:r>
    </w:p>
    <w:p w14:paraId="00B2D738" w14:textId="197C4477" w:rsidR="00D35E19" w:rsidRDefault="00D35E19" w:rsidP="0092045C">
      <w:pPr>
        <w:spacing w:after="0" w:line="240" w:lineRule="auto"/>
      </w:pPr>
    </w:p>
    <w:p w14:paraId="4F5B3C42" w14:textId="01AEB06B" w:rsidR="0069351C" w:rsidRPr="00E278C0" w:rsidRDefault="0069351C" w:rsidP="0069351C">
      <w:pPr>
        <w:pStyle w:val="Paragraphedeliste"/>
        <w:numPr>
          <w:ilvl w:val="0"/>
          <w:numId w:val="3"/>
        </w:numPr>
        <w:spacing w:after="0" w:line="240" w:lineRule="auto"/>
        <w:rPr>
          <w:u w:val="single"/>
        </w:rPr>
      </w:pPr>
      <w:r w:rsidRPr="00E278C0">
        <w:rPr>
          <w:u w:val="single"/>
        </w:rPr>
        <w:t>Une œuvre peut entretenir un rapport particulier avec le lieu</w:t>
      </w:r>
    </w:p>
    <w:p w14:paraId="10995D26" w14:textId="77777777" w:rsidR="00D35E19" w:rsidRPr="0092045C" w:rsidRDefault="00D35E19" w:rsidP="0092045C">
      <w:pPr>
        <w:spacing w:after="0" w:line="240" w:lineRule="auto"/>
        <w:rPr>
          <w:u w:val="single"/>
        </w:rPr>
      </w:pPr>
    </w:p>
    <w:p w14:paraId="1AB6CA35" w14:textId="48E29C46" w:rsidR="0092045C" w:rsidRDefault="0069351C" w:rsidP="0073173D">
      <w:pPr>
        <w:pStyle w:val="Paragraphedeliste"/>
        <w:numPr>
          <w:ilvl w:val="0"/>
          <w:numId w:val="2"/>
        </w:numPr>
      </w:pPr>
      <w:r>
        <w:t>Ernest pignon Ernest, la peau des murs, dans l’espace public</w:t>
      </w:r>
      <w:r w:rsidR="00B5217A">
        <w:t xml:space="preserve">, </w:t>
      </w:r>
      <w:r w:rsidR="00B5217A" w:rsidRPr="00B5217A">
        <w:rPr>
          <w:u w:val="single"/>
        </w:rPr>
        <w:t>La Mort de la Vierge</w:t>
      </w:r>
      <w:r w:rsidR="00B5217A">
        <w:t xml:space="preserve"> d’après Caravage, entretient un lien avec le lieu puisque la marchande à côté de l’œuvre fut surnommée la veilleuse de la vierge et un dessin lui fut dédié à l’endroit même où elle se tenait après sa mort afin de lui rendre hommage.</w:t>
      </w:r>
    </w:p>
    <w:p w14:paraId="6823901E" w14:textId="0E73621E" w:rsidR="0069351C" w:rsidRDefault="00A33379" w:rsidP="0073173D">
      <w:pPr>
        <w:pStyle w:val="Paragraphedeliste"/>
        <w:numPr>
          <w:ilvl w:val="0"/>
          <w:numId w:val="2"/>
        </w:numPr>
        <w:rPr>
          <w:rStyle w:val="tbj"/>
        </w:rPr>
      </w:pPr>
      <w:r>
        <w:rPr>
          <w:rStyle w:val="tbj"/>
        </w:rPr>
        <w:t xml:space="preserve">Hans </w:t>
      </w:r>
      <w:proofErr w:type="spellStart"/>
      <w:proofErr w:type="gramStart"/>
      <w:r>
        <w:rPr>
          <w:rStyle w:val="tbj"/>
        </w:rPr>
        <w:t>Haacke</w:t>
      </w:r>
      <w:proofErr w:type="spellEnd"/>
      <w:r>
        <w:rPr>
          <w:rStyle w:val="tbj"/>
        </w:rPr>
        <w:t>:</w:t>
      </w:r>
      <w:proofErr w:type="gramEnd"/>
      <w:r>
        <w:rPr>
          <w:rStyle w:val="tbj"/>
        </w:rPr>
        <w:t xml:space="preserve"> </w:t>
      </w:r>
      <w:proofErr w:type="spellStart"/>
      <w:r w:rsidRPr="00A84743">
        <w:rPr>
          <w:rStyle w:val="tbj"/>
          <w:u w:val="single"/>
        </w:rPr>
        <w:t>Und</w:t>
      </w:r>
      <w:proofErr w:type="spellEnd"/>
      <w:r w:rsidRPr="00A84743">
        <w:rPr>
          <w:rStyle w:val="tbj"/>
          <w:u w:val="single"/>
        </w:rPr>
        <w:t xml:space="preserve"> </w:t>
      </w:r>
      <w:proofErr w:type="spellStart"/>
      <w:r w:rsidRPr="00A84743">
        <w:rPr>
          <w:rStyle w:val="tbj"/>
          <w:u w:val="single"/>
        </w:rPr>
        <w:t>ihr</w:t>
      </w:r>
      <w:proofErr w:type="spellEnd"/>
      <w:r w:rsidRPr="00A84743">
        <w:rPr>
          <w:rStyle w:val="tbj"/>
          <w:u w:val="single"/>
        </w:rPr>
        <w:t xml:space="preserve"> </w:t>
      </w:r>
      <w:proofErr w:type="spellStart"/>
      <w:r w:rsidRPr="00A84743">
        <w:rPr>
          <w:rStyle w:val="tbj"/>
          <w:u w:val="single"/>
        </w:rPr>
        <w:t>habt</w:t>
      </w:r>
      <w:proofErr w:type="spellEnd"/>
      <w:r w:rsidRPr="00A84743">
        <w:rPr>
          <w:rStyle w:val="tbj"/>
          <w:u w:val="single"/>
        </w:rPr>
        <w:t xml:space="preserve"> </w:t>
      </w:r>
      <w:proofErr w:type="spellStart"/>
      <w:r w:rsidRPr="00A84743">
        <w:rPr>
          <w:rStyle w:val="tbj"/>
          <w:u w:val="single"/>
        </w:rPr>
        <w:t>doch</w:t>
      </w:r>
      <w:proofErr w:type="spellEnd"/>
      <w:r w:rsidRPr="00A84743">
        <w:rPr>
          <w:rStyle w:val="tbj"/>
          <w:u w:val="single"/>
        </w:rPr>
        <w:t xml:space="preserve"> </w:t>
      </w:r>
      <w:proofErr w:type="spellStart"/>
      <w:r w:rsidRPr="00A84743">
        <w:rPr>
          <w:rStyle w:val="tbj"/>
          <w:u w:val="single"/>
        </w:rPr>
        <w:t>gesiegt</w:t>
      </w:r>
      <w:proofErr w:type="spellEnd"/>
      <w:r>
        <w:rPr>
          <w:rStyle w:val="tbj"/>
        </w:rPr>
        <w:t xml:space="preserve"> (Et pourtant vous étiez les vainqueurs), 1988, Graz</w:t>
      </w:r>
      <w:r w:rsidR="00A84743">
        <w:rPr>
          <w:rStyle w:val="tbj"/>
        </w:rPr>
        <w:t xml:space="preserve">, </w:t>
      </w:r>
    </w:p>
    <w:p w14:paraId="7B87CACD" w14:textId="027FCB21" w:rsidR="00A84743" w:rsidRDefault="00A84743" w:rsidP="00A84743">
      <w:pPr>
        <w:pStyle w:val="Paragraphedeliste"/>
      </w:pPr>
      <w:r>
        <w:t xml:space="preserve">L’artiste joue avec la notion de lieu de commémoration et cherche à éveiller la mémoire. </w:t>
      </w:r>
      <w:proofErr w:type="spellStart"/>
      <w:r>
        <w:t>Haacke</w:t>
      </w:r>
      <w:proofErr w:type="spellEnd"/>
      <w:r>
        <w:t xml:space="preserve"> fait reconstruire sur la place principale de Graz (capitale de la Styrie, Autriche), à partir de clichés photographiques de l’époque, le fac-similé d’un gigantesque obélisque qui avait été érigé par Hitler, lors d’une commémoration nazie.</w:t>
      </w:r>
    </w:p>
    <w:p w14:paraId="7BA06A01" w14:textId="0D849673" w:rsidR="00A84743" w:rsidRDefault="0019692F" w:rsidP="00A84743">
      <w:pPr>
        <w:pStyle w:val="Paragraphedeliste"/>
        <w:numPr>
          <w:ilvl w:val="0"/>
          <w:numId w:val="2"/>
        </w:numPr>
      </w:pPr>
      <w:proofErr w:type="spellStart"/>
      <w:r w:rsidRPr="0019692F">
        <w:rPr>
          <w:u w:val="single"/>
        </w:rPr>
        <w:t>Untitled</w:t>
      </w:r>
      <w:proofErr w:type="spellEnd"/>
      <w:r w:rsidRPr="0019692F">
        <w:t>, Barbara Kruger, exposition au musée Lu</w:t>
      </w:r>
      <w:r>
        <w:t xml:space="preserve">dwig à Cologne. </w:t>
      </w:r>
      <w:r w:rsidR="00CE2523">
        <w:t>L’exposition a été modifié avec des inscriptions en allemands pour concorder au lieu d’accueil.</w:t>
      </w:r>
    </w:p>
    <w:p w14:paraId="328C6CE1" w14:textId="2943C353" w:rsidR="00CE2523" w:rsidRDefault="005B246A" w:rsidP="00A84743">
      <w:pPr>
        <w:pStyle w:val="Paragraphedeliste"/>
        <w:numPr>
          <w:ilvl w:val="0"/>
          <w:numId w:val="2"/>
        </w:numPr>
      </w:pPr>
      <w:r>
        <w:rPr>
          <w:u w:val="single"/>
        </w:rPr>
        <w:t>Le cycle des Nymphéas</w:t>
      </w:r>
      <w:r>
        <w:t>, Monet, le lieu d’exposition a pensé en même temps que l’œuvre, dans une forme de signe infini, afin de suivre l’ordre des tableaux dans un ordre logique.</w:t>
      </w:r>
    </w:p>
    <w:p w14:paraId="3FFB80E8" w14:textId="44B620FB" w:rsidR="00B5217A" w:rsidRPr="00E278C0" w:rsidRDefault="00E278C0" w:rsidP="005E68E5">
      <w:pPr>
        <w:pStyle w:val="Paragraphedeliste"/>
        <w:numPr>
          <w:ilvl w:val="0"/>
          <w:numId w:val="2"/>
        </w:numPr>
      </w:pPr>
      <w:r w:rsidRPr="00E278C0">
        <w:rPr>
          <w:u w:val="single"/>
        </w:rPr>
        <w:t>Serpent d’Océan,</w:t>
      </w:r>
      <w:r w:rsidRPr="00E278C0">
        <w:t xml:space="preserve"> Huang Yong Ping, </w:t>
      </w:r>
      <w:r>
        <w:t xml:space="preserve">l’œuvre se situe aux limites de la marée haute et basse et est destinée </w:t>
      </w:r>
      <w:r w:rsidRPr="00E278C0">
        <w:t>à être progressivement recouvert par la faune et la flore marines</w:t>
      </w:r>
      <w:r>
        <w:t xml:space="preserve"> sa forme rappelle la courbe </w:t>
      </w:r>
      <w:r w:rsidRPr="00E278C0">
        <w:t>du pont voisin de Saint-Nazaire</w:t>
      </w:r>
      <w:r>
        <w:t>.</w:t>
      </w:r>
    </w:p>
    <w:p w14:paraId="282F8A74" w14:textId="42DF464D" w:rsidR="00B5217A" w:rsidRPr="00E278C0" w:rsidRDefault="00B5217A" w:rsidP="00B5217A">
      <w:pPr>
        <w:ind w:left="360"/>
      </w:pPr>
    </w:p>
    <w:p w14:paraId="0A98E0BA" w14:textId="2089F85F" w:rsidR="00B5217A" w:rsidRPr="00755557" w:rsidRDefault="00B5217A" w:rsidP="00B5217A">
      <w:pPr>
        <w:pStyle w:val="Paragraphedeliste"/>
        <w:numPr>
          <w:ilvl w:val="0"/>
          <w:numId w:val="3"/>
        </w:numPr>
        <w:rPr>
          <w:u w:val="single"/>
        </w:rPr>
      </w:pPr>
      <w:r w:rsidRPr="00755557">
        <w:rPr>
          <w:u w:val="single"/>
        </w:rPr>
        <w:t xml:space="preserve">Le lieu n’entretient aucun rapport particulier avec l’œuvre d’art qu’il accueille </w:t>
      </w:r>
    </w:p>
    <w:p w14:paraId="7E582A78" w14:textId="77777777" w:rsidR="00B5217A" w:rsidRDefault="00B5217A" w:rsidP="00B5217A">
      <w:pPr>
        <w:pStyle w:val="Paragraphedeliste"/>
      </w:pPr>
    </w:p>
    <w:p w14:paraId="24840856" w14:textId="684F0490" w:rsidR="00B5217A" w:rsidRDefault="00B5217A" w:rsidP="00B5217A">
      <w:pPr>
        <w:pStyle w:val="Paragraphedeliste"/>
        <w:numPr>
          <w:ilvl w:val="0"/>
          <w:numId w:val="2"/>
        </w:numPr>
        <w:rPr>
          <w:rStyle w:val="hgkelc"/>
        </w:rPr>
      </w:pPr>
      <w:proofErr w:type="spellStart"/>
      <w:r w:rsidRPr="00A33379">
        <w:t>Anish</w:t>
      </w:r>
      <w:proofErr w:type="spellEnd"/>
      <w:r w:rsidRPr="00A33379">
        <w:t xml:space="preserve"> </w:t>
      </w:r>
      <w:r w:rsidR="00A84743">
        <w:t>K</w:t>
      </w:r>
      <w:r w:rsidRPr="00A33379">
        <w:t>apoor</w:t>
      </w:r>
      <w:r w:rsidR="00A33379" w:rsidRPr="00A33379">
        <w:rPr>
          <w:rStyle w:val="hgkelc"/>
        </w:rPr>
        <w:t xml:space="preserve">, </w:t>
      </w:r>
      <w:r w:rsidR="00A33379" w:rsidRPr="00A84743">
        <w:rPr>
          <w:rStyle w:val="hgkelc"/>
          <w:u w:val="single"/>
        </w:rPr>
        <w:t>Dirty Corner</w:t>
      </w:r>
      <w:r w:rsidR="00A33379" w:rsidRPr="00A33379">
        <w:rPr>
          <w:rStyle w:val="hgkelc"/>
        </w:rPr>
        <w:t xml:space="preserve"> n’entretient pas de</w:t>
      </w:r>
      <w:r w:rsidR="00A33379">
        <w:rPr>
          <w:rStyle w:val="hgkelc"/>
        </w:rPr>
        <w:t xml:space="preserve"> rapport avec son lieu d’exposition, les jardins de Versailles, mais l’œuvre a plutôt été créer dans un esprit de provocation</w:t>
      </w:r>
    </w:p>
    <w:p w14:paraId="3A6EF615" w14:textId="099AED93" w:rsidR="00D0193D" w:rsidRDefault="00E46FAE" w:rsidP="00B5217A">
      <w:pPr>
        <w:pStyle w:val="Paragraphedeliste"/>
        <w:numPr>
          <w:ilvl w:val="0"/>
          <w:numId w:val="2"/>
        </w:numPr>
      </w:pPr>
      <w:r>
        <w:t xml:space="preserve">Certaines œuvres exposées dans des musées n’ont pas de rapport particulier avec le musée et sont simplement exposé, parfois de manière éphémère pour rejoindre un nouveau lieu d’exposition par la suite. Prenons en exemple </w:t>
      </w:r>
      <w:r w:rsidRPr="00E46FAE">
        <w:rPr>
          <w:rStyle w:val="hgkelc"/>
          <w:u w:val="single"/>
        </w:rPr>
        <w:t>Nature morte à la tête antique</w:t>
      </w:r>
      <w:r>
        <w:rPr>
          <w:rStyle w:val="hgkelc"/>
        </w:rPr>
        <w:t xml:space="preserve"> de Picasso visible au Centre Pompidou de paris, ou </w:t>
      </w:r>
      <w:r w:rsidR="00D82A19" w:rsidRPr="009F38A6">
        <w:rPr>
          <w:rStyle w:val="Accentuation"/>
          <w:i w:val="0"/>
          <w:iCs w:val="0"/>
        </w:rPr>
        <w:t>Kandinsky</w:t>
      </w:r>
      <w:r w:rsidR="00D82A19" w:rsidRPr="00D82A19">
        <w:t xml:space="preserve"> </w:t>
      </w:r>
      <w:r w:rsidR="00D82A19" w:rsidRPr="009F38A6">
        <w:rPr>
          <w:rStyle w:val="Accentuation"/>
          <w:i w:val="0"/>
          <w:iCs w:val="0"/>
          <w:u w:val="single"/>
        </w:rPr>
        <w:t>Composition</w:t>
      </w:r>
      <w:r w:rsidR="00D82A19" w:rsidRPr="009F38A6">
        <w:rPr>
          <w:i/>
          <w:iCs/>
          <w:u w:val="single"/>
        </w:rPr>
        <w:t xml:space="preserve"> 8</w:t>
      </w:r>
      <w:r w:rsidR="00D82A19">
        <w:t xml:space="preserve"> </w:t>
      </w:r>
      <w:r w:rsidR="009F38A6">
        <w:t xml:space="preserve"> au musée </w:t>
      </w:r>
      <w:r w:rsidR="00D82A19">
        <w:t>Guggenheim Museum</w:t>
      </w:r>
      <w:r w:rsidR="009F38A6">
        <w:t xml:space="preserve"> à </w:t>
      </w:r>
      <w:r w:rsidR="00D82A19">
        <w:t>New York</w:t>
      </w:r>
      <w:r w:rsidR="009F38A6">
        <w:t>.</w:t>
      </w:r>
    </w:p>
    <w:p w14:paraId="1798CFC3" w14:textId="1081E4B0" w:rsidR="009F38A6" w:rsidRDefault="009F38A6" w:rsidP="00B5217A">
      <w:pPr>
        <w:pStyle w:val="Paragraphedeliste"/>
        <w:numPr>
          <w:ilvl w:val="0"/>
          <w:numId w:val="2"/>
        </w:numPr>
      </w:pPr>
      <w:r w:rsidRPr="009F38A6">
        <w:t xml:space="preserve">Exposition de </w:t>
      </w:r>
      <w:proofErr w:type="spellStart"/>
      <w:r w:rsidRPr="009F38A6">
        <w:t>Kentridge</w:t>
      </w:r>
      <w:proofErr w:type="spellEnd"/>
      <w:r w:rsidRPr="009F38A6">
        <w:t xml:space="preserve"> </w:t>
      </w:r>
      <w:r w:rsidR="0088651E" w:rsidRPr="0088651E">
        <w:rPr>
          <w:u w:val="single"/>
        </w:rPr>
        <w:t>M</w:t>
      </w:r>
      <w:r w:rsidRPr="0088651E">
        <w:rPr>
          <w:u w:val="single"/>
        </w:rPr>
        <w:t xml:space="preserve">ore </w:t>
      </w:r>
      <w:proofErr w:type="spellStart"/>
      <w:r w:rsidR="0088651E" w:rsidRPr="0088651E">
        <w:rPr>
          <w:u w:val="single"/>
        </w:rPr>
        <w:t>S</w:t>
      </w:r>
      <w:r w:rsidRPr="0088651E">
        <w:rPr>
          <w:u w:val="single"/>
        </w:rPr>
        <w:t>weetly</w:t>
      </w:r>
      <w:proofErr w:type="spellEnd"/>
      <w:r w:rsidRPr="0088651E">
        <w:rPr>
          <w:u w:val="single"/>
        </w:rPr>
        <w:t xml:space="preserve"> </w:t>
      </w:r>
      <w:proofErr w:type="spellStart"/>
      <w:r w:rsidRPr="0088651E">
        <w:rPr>
          <w:u w:val="single"/>
        </w:rPr>
        <w:t>play</w:t>
      </w:r>
      <w:proofErr w:type="spellEnd"/>
      <w:r w:rsidRPr="0088651E">
        <w:rPr>
          <w:u w:val="single"/>
        </w:rPr>
        <w:t xml:space="preserve"> the dance</w:t>
      </w:r>
      <w:r w:rsidRPr="009F38A6">
        <w:t>, exposé dans différents lieu</w:t>
      </w:r>
      <w:r>
        <w:t>x et modifi</w:t>
      </w:r>
      <w:r w:rsidR="001F3025">
        <w:t>ée</w:t>
      </w:r>
      <w:r>
        <w:t xml:space="preserve"> pour l’occasion </w:t>
      </w:r>
      <w:r w:rsidR="001F3025">
        <w:t>mais l’œuvre n’entretient pas de rapport avec la pièce dans laquelle elle est exposée.</w:t>
      </w:r>
    </w:p>
    <w:p w14:paraId="622EE863" w14:textId="01888C62" w:rsidR="003B4534" w:rsidRDefault="003B4534" w:rsidP="005E68E5">
      <w:pPr>
        <w:pStyle w:val="Paragraphedeliste"/>
      </w:pPr>
    </w:p>
    <w:p w14:paraId="6E7E484A" w14:textId="7DA84407" w:rsidR="00D364CE" w:rsidRDefault="00D364CE" w:rsidP="005E68E5">
      <w:pPr>
        <w:pStyle w:val="Paragraphedeliste"/>
      </w:pPr>
    </w:p>
    <w:p w14:paraId="680A0AD5" w14:textId="0C25D09A" w:rsidR="00B5217A" w:rsidRPr="009F38A6" w:rsidRDefault="00B5217A" w:rsidP="00B5217A"/>
    <w:sectPr w:rsidR="00B5217A" w:rsidRPr="009F38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A0E73"/>
    <w:multiLevelType w:val="hybridMultilevel"/>
    <w:tmpl w:val="68588620"/>
    <w:lvl w:ilvl="0" w:tplc="999ED08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BB2780"/>
    <w:multiLevelType w:val="hybridMultilevel"/>
    <w:tmpl w:val="846CB55A"/>
    <w:lvl w:ilvl="0" w:tplc="608EBD88">
      <w:start w:val="1"/>
      <w:numFmt w:val="upperRoman"/>
      <w:lvlText w:val="%1)"/>
      <w:lvlJc w:val="left"/>
      <w:pPr>
        <w:ind w:left="1080" w:hanging="720"/>
      </w:pPr>
      <w:rPr>
        <w:rFonts w:ascii="Arial" w:eastAsia="Times New Roman" w:hAnsi="Arial" w:cs="Arial" w:hint="default"/>
        <w:sz w:val="17"/>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88927D9"/>
    <w:multiLevelType w:val="hybridMultilevel"/>
    <w:tmpl w:val="EBCA2348"/>
    <w:lvl w:ilvl="0" w:tplc="EEF49DDE">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94E73E6"/>
    <w:multiLevelType w:val="hybridMultilevel"/>
    <w:tmpl w:val="976235C4"/>
    <w:lvl w:ilvl="0" w:tplc="5C5A809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45C"/>
    <w:rsid w:val="00162EC5"/>
    <w:rsid w:val="0019692F"/>
    <w:rsid w:val="001F3025"/>
    <w:rsid w:val="003B4534"/>
    <w:rsid w:val="005B246A"/>
    <w:rsid w:val="005E68E5"/>
    <w:rsid w:val="0069351C"/>
    <w:rsid w:val="006D285F"/>
    <w:rsid w:val="00700E45"/>
    <w:rsid w:val="0073173D"/>
    <w:rsid w:val="00755557"/>
    <w:rsid w:val="0088651E"/>
    <w:rsid w:val="0092045C"/>
    <w:rsid w:val="009F38A6"/>
    <w:rsid w:val="00A33379"/>
    <w:rsid w:val="00A84743"/>
    <w:rsid w:val="00B5217A"/>
    <w:rsid w:val="00CE2523"/>
    <w:rsid w:val="00D0193D"/>
    <w:rsid w:val="00D35E19"/>
    <w:rsid w:val="00D364CE"/>
    <w:rsid w:val="00D82A19"/>
    <w:rsid w:val="00E278C0"/>
    <w:rsid w:val="00E46F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5186"/>
  <w15:chartTrackingRefBased/>
  <w15:docId w15:val="{3963DE75-1DE5-40EA-A3B6-B06AA352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5E19"/>
    <w:pPr>
      <w:ind w:left="720"/>
      <w:contextualSpacing/>
    </w:pPr>
  </w:style>
  <w:style w:type="character" w:customStyle="1" w:styleId="hgkelc">
    <w:name w:val="hgkelc"/>
    <w:basedOn w:val="Policepardfaut"/>
    <w:rsid w:val="00A33379"/>
  </w:style>
  <w:style w:type="character" w:customStyle="1" w:styleId="tbj">
    <w:name w:val="tbj"/>
    <w:basedOn w:val="Policepardfaut"/>
    <w:rsid w:val="00A33379"/>
  </w:style>
  <w:style w:type="character" w:styleId="Accentuation">
    <w:name w:val="Emphasis"/>
    <w:basedOn w:val="Policepardfaut"/>
    <w:uiPriority w:val="20"/>
    <w:qFormat/>
    <w:rsid w:val="00D82A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184328">
      <w:bodyDiv w:val="1"/>
      <w:marLeft w:val="0"/>
      <w:marRight w:val="0"/>
      <w:marTop w:val="0"/>
      <w:marBottom w:val="0"/>
      <w:divBdr>
        <w:top w:val="none" w:sz="0" w:space="0" w:color="auto"/>
        <w:left w:val="none" w:sz="0" w:space="0" w:color="auto"/>
        <w:bottom w:val="none" w:sz="0" w:space="0" w:color="auto"/>
        <w:right w:val="none" w:sz="0" w:space="0" w:color="auto"/>
      </w:divBdr>
      <w:divsChild>
        <w:div w:id="315189477">
          <w:marLeft w:val="0"/>
          <w:marRight w:val="0"/>
          <w:marTop w:val="0"/>
          <w:marBottom w:val="0"/>
          <w:divBdr>
            <w:top w:val="none" w:sz="0" w:space="0" w:color="auto"/>
            <w:left w:val="none" w:sz="0" w:space="0" w:color="auto"/>
            <w:bottom w:val="none" w:sz="0" w:space="0" w:color="auto"/>
            <w:right w:val="none" w:sz="0" w:space="0" w:color="auto"/>
          </w:divBdr>
        </w:div>
        <w:div w:id="932208466">
          <w:marLeft w:val="0"/>
          <w:marRight w:val="0"/>
          <w:marTop w:val="0"/>
          <w:marBottom w:val="0"/>
          <w:divBdr>
            <w:top w:val="none" w:sz="0" w:space="0" w:color="auto"/>
            <w:left w:val="none" w:sz="0" w:space="0" w:color="auto"/>
            <w:bottom w:val="none" w:sz="0" w:space="0" w:color="auto"/>
            <w:right w:val="none" w:sz="0" w:space="0" w:color="auto"/>
          </w:divBdr>
        </w:div>
        <w:div w:id="1828477783">
          <w:marLeft w:val="0"/>
          <w:marRight w:val="0"/>
          <w:marTop w:val="0"/>
          <w:marBottom w:val="0"/>
          <w:divBdr>
            <w:top w:val="none" w:sz="0" w:space="0" w:color="auto"/>
            <w:left w:val="none" w:sz="0" w:space="0" w:color="auto"/>
            <w:bottom w:val="none" w:sz="0" w:space="0" w:color="auto"/>
            <w:right w:val="none" w:sz="0" w:space="0" w:color="auto"/>
          </w:divBdr>
        </w:div>
        <w:div w:id="1068842103">
          <w:marLeft w:val="0"/>
          <w:marRight w:val="0"/>
          <w:marTop w:val="0"/>
          <w:marBottom w:val="0"/>
          <w:divBdr>
            <w:top w:val="none" w:sz="0" w:space="0" w:color="auto"/>
            <w:left w:val="none" w:sz="0" w:space="0" w:color="auto"/>
            <w:bottom w:val="none" w:sz="0" w:space="0" w:color="auto"/>
            <w:right w:val="none" w:sz="0" w:space="0" w:color="auto"/>
          </w:divBdr>
        </w:div>
        <w:div w:id="1035697461">
          <w:marLeft w:val="0"/>
          <w:marRight w:val="0"/>
          <w:marTop w:val="0"/>
          <w:marBottom w:val="0"/>
          <w:divBdr>
            <w:top w:val="none" w:sz="0" w:space="0" w:color="auto"/>
            <w:left w:val="none" w:sz="0" w:space="0" w:color="auto"/>
            <w:bottom w:val="none" w:sz="0" w:space="0" w:color="auto"/>
            <w:right w:val="none" w:sz="0" w:space="0" w:color="auto"/>
          </w:divBdr>
        </w:div>
        <w:div w:id="2105758066">
          <w:marLeft w:val="0"/>
          <w:marRight w:val="0"/>
          <w:marTop w:val="0"/>
          <w:marBottom w:val="0"/>
          <w:divBdr>
            <w:top w:val="none" w:sz="0" w:space="0" w:color="auto"/>
            <w:left w:val="none" w:sz="0" w:space="0" w:color="auto"/>
            <w:bottom w:val="none" w:sz="0" w:space="0" w:color="auto"/>
            <w:right w:val="none" w:sz="0" w:space="0" w:color="auto"/>
          </w:divBdr>
        </w:div>
      </w:divsChild>
    </w:div>
    <w:div w:id="912661796">
      <w:bodyDiv w:val="1"/>
      <w:marLeft w:val="0"/>
      <w:marRight w:val="0"/>
      <w:marTop w:val="0"/>
      <w:marBottom w:val="0"/>
      <w:divBdr>
        <w:top w:val="none" w:sz="0" w:space="0" w:color="auto"/>
        <w:left w:val="none" w:sz="0" w:space="0" w:color="auto"/>
        <w:bottom w:val="none" w:sz="0" w:space="0" w:color="auto"/>
        <w:right w:val="none" w:sz="0" w:space="0" w:color="auto"/>
      </w:divBdr>
    </w:div>
    <w:div w:id="1009910709">
      <w:bodyDiv w:val="1"/>
      <w:marLeft w:val="0"/>
      <w:marRight w:val="0"/>
      <w:marTop w:val="0"/>
      <w:marBottom w:val="0"/>
      <w:divBdr>
        <w:top w:val="none" w:sz="0" w:space="0" w:color="auto"/>
        <w:left w:val="none" w:sz="0" w:space="0" w:color="auto"/>
        <w:bottom w:val="none" w:sz="0" w:space="0" w:color="auto"/>
        <w:right w:val="none" w:sz="0" w:space="0" w:color="auto"/>
      </w:divBdr>
    </w:div>
    <w:div w:id="1097677761">
      <w:bodyDiv w:val="1"/>
      <w:marLeft w:val="0"/>
      <w:marRight w:val="0"/>
      <w:marTop w:val="0"/>
      <w:marBottom w:val="0"/>
      <w:divBdr>
        <w:top w:val="none" w:sz="0" w:space="0" w:color="auto"/>
        <w:left w:val="none" w:sz="0" w:space="0" w:color="auto"/>
        <w:bottom w:val="none" w:sz="0" w:space="0" w:color="auto"/>
        <w:right w:val="none" w:sz="0" w:space="0" w:color="auto"/>
      </w:divBdr>
      <w:divsChild>
        <w:div w:id="281544710">
          <w:marLeft w:val="0"/>
          <w:marRight w:val="0"/>
          <w:marTop w:val="0"/>
          <w:marBottom w:val="0"/>
          <w:divBdr>
            <w:top w:val="none" w:sz="0" w:space="0" w:color="auto"/>
            <w:left w:val="none" w:sz="0" w:space="0" w:color="auto"/>
            <w:bottom w:val="none" w:sz="0" w:space="0" w:color="auto"/>
            <w:right w:val="none" w:sz="0" w:space="0" w:color="auto"/>
          </w:divBdr>
        </w:div>
        <w:div w:id="1241403284">
          <w:marLeft w:val="0"/>
          <w:marRight w:val="0"/>
          <w:marTop w:val="0"/>
          <w:marBottom w:val="0"/>
          <w:divBdr>
            <w:top w:val="none" w:sz="0" w:space="0" w:color="auto"/>
            <w:left w:val="none" w:sz="0" w:space="0" w:color="auto"/>
            <w:bottom w:val="none" w:sz="0" w:space="0" w:color="auto"/>
            <w:right w:val="none" w:sz="0" w:space="0" w:color="auto"/>
          </w:divBdr>
        </w:div>
        <w:div w:id="245959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415</Words>
  <Characters>2285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ROEMER Amandine</dc:creator>
  <cp:keywords/>
  <dc:description/>
  <cp:lastModifiedBy>ROEMER Amandine</cp:lastModifiedBy>
  <cp:revision>11</cp:revision>
  <dcterms:created xsi:type="dcterms:W3CDTF">2022-01-17T14:47:00Z</dcterms:created>
  <dcterms:modified xsi:type="dcterms:W3CDTF">2022-01-19T09:26:00Z</dcterms:modified>
</cp:coreProperties>
</file>