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B503E1" w14:textId="29A1481F" w:rsidR="00753D2B" w:rsidRPr="002161A1" w:rsidRDefault="00122DBF" w:rsidP="002161A1">
      <w:pPr>
        <w:jc w:val="center"/>
        <w:rPr>
          <w:b/>
          <w:bCs/>
          <w:sz w:val="32"/>
          <w:szCs w:val="32"/>
        </w:rPr>
      </w:pPr>
      <w:r>
        <w:rPr>
          <w:b/>
          <w:bCs/>
          <w:sz w:val="32"/>
          <w:szCs w:val="32"/>
        </w:rPr>
        <w:t>RESUMEN</w:t>
      </w:r>
      <w:r w:rsidR="00044BC4">
        <w:rPr>
          <w:b/>
          <w:bCs/>
          <w:sz w:val="32"/>
          <w:szCs w:val="32"/>
        </w:rPr>
        <w:t xml:space="preserve"> (pg. 30-61)</w:t>
      </w:r>
      <w:r>
        <w:rPr>
          <w:b/>
          <w:bCs/>
          <w:sz w:val="32"/>
          <w:szCs w:val="32"/>
        </w:rPr>
        <w:t xml:space="preserve"> - </w:t>
      </w:r>
      <w:r w:rsidRPr="002161A1">
        <w:rPr>
          <w:b/>
          <w:bCs/>
          <w:sz w:val="32"/>
          <w:szCs w:val="32"/>
        </w:rPr>
        <w:t>PRINCIPIOS DE CLASIFICACIÓN DE LOS PAISAJES</w:t>
      </w:r>
    </w:p>
    <w:p w14:paraId="1A8EDB82" w14:textId="7587C438" w:rsidR="00C66C22" w:rsidRDefault="00C66C22" w:rsidP="00C66C22"/>
    <w:p w14:paraId="0F6EDCCF" w14:textId="77777777" w:rsidR="00352014" w:rsidRDefault="00C66C22" w:rsidP="00F820A2">
      <w:pPr>
        <w:jc w:val="both"/>
      </w:pPr>
      <w:r>
        <w:t>La tipología</w:t>
      </w:r>
      <w:r w:rsidR="00214DF7">
        <w:t xml:space="preserve"> </w:t>
      </w:r>
      <w:r>
        <w:t>de</w:t>
      </w:r>
      <w:r w:rsidR="00352014">
        <w:t>l</w:t>
      </w:r>
      <w:r>
        <w:t xml:space="preserve"> paisaje</w:t>
      </w:r>
      <w:r w:rsidR="00214DF7">
        <w:t xml:space="preserve"> </w:t>
      </w:r>
      <w:r>
        <w:t>consiste en la clasificación y cartografía de los paisajes naturales, en general modificados por la actividad humana, así como en</w:t>
      </w:r>
      <w:r w:rsidR="00214DF7">
        <w:t xml:space="preserve"> </w:t>
      </w:r>
      <w:r>
        <w:t>la comprensión de su composición, estructura,</w:t>
      </w:r>
      <w:r w:rsidR="00214DF7">
        <w:t xml:space="preserve"> </w:t>
      </w:r>
      <w:r>
        <w:t>relaciones, diferenciación y</w:t>
      </w:r>
      <w:r w:rsidR="00214DF7">
        <w:t xml:space="preserve"> </w:t>
      </w:r>
      <w:r>
        <w:t xml:space="preserve">desarrollo. </w:t>
      </w:r>
    </w:p>
    <w:p w14:paraId="5AFA50F0" w14:textId="2CA781E9" w:rsidR="00C66C22" w:rsidRPr="00352014" w:rsidRDefault="00C66C22" w:rsidP="00F820A2">
      <w:pPr>
        <w:jc w:val="both"/>
        <w:rPr>
          <w:u w:val="single"/>
        </w:rPr>
      </w:pPr>
      <w:r w:rsidRPr="00352014">
        <w:rPr>
          <w:b/>
          <w:bCs/>
          <w:u w:val="single"/>
        </w:rPr>
        <w:t>Los paisajes</w:t>
      </w:r>
      <w:r w:rsidR="00352014" w:rsidRPr="00352014">
        <w:rPr>
          <w:b/>
          <w:bCs/>
          <w:u w:val="single"/>
        </w:rPr>
        <w:t xml:space="preserve"> (</w:t>
      </w:r>
      <w:proofErr w:type="spellStart"/>
      <w:r w:rsidRPr="00352014">
        <w:rPr>
          <w:b/>
          <w:bCs/>
          <w:u w:val="single"/>
        </w:rPr>
        <w:t>geocomplejos</w:t>
      </w:r>
      <w:proofErr w:type="spellEnd"/>
      <w:r w:rsidR="00352014" w:rsidRPr="00352014">
        <w:rPr>
          <w:b/>
          <w:bCs/>
          <w:u w:val="single"/>
        </w:rPr>
        <w:t>):</w:t>
      </w:r>
      <w:r w:rsidR="00352014">
        <w:t xml:space="preserve"> </w:t>
      </w:r>
      <w:r>
        <w:t>son sistemas</w:t>
      </w:r>
      <w:r w:rsidR="00214DF7">
        <w:t xml:space="preserve"> </w:t>
      </w:r>
      <w:r>
        <w:t>territoriales naturales, usualmente modificados por la actividad</w:t>
      </w:r>
      <w:r w:rsidR="00214DF7">
        <w:t xml:space="preserve"> </w:t>
      </w:r>
      <w:r>
        <w:t>humana. Los paisajes de índole tipológica son repetibles en el</w:t>
      </w:r>
      <w:r w:rsidR="00214DF7">
        <w:t xml:space="preserve"> </w:t>
      </w:r>
      <w:r>
        <w:t>espacio y el tiempo, y se distinguen de acuerdo con los principios de homogeneidad relativa en su estructura y composición, repetibilidad y pertenencia</w:t>
      </w:r>
      <w:r w:rsidR="00214DF7">
        <w:t xml:space="preserve"> </w:t>
      </w:r>
      <w:r>
        <w:t>a un mismo tipo. Los principios de clasificación</w:t>
      </w:r>
      <w:r w:rsidR="0041412B">
        <w:t xml:space="preserve"> (2 </w:t>
      </w:r>
      <w:proofErr w:type="spellStart"/>
      <w:r w:rsidR="0041412B">
        <w:t>basicos</w:t>
      </w:r>
      <w:proofErr w:type="spellEnd"/>
      <w:r w:rsidR="0041412B">
        <w:t>)</w:t>
      </w:r>
      <w:r>
        <w:t xml:space="preserve"> se basan en las propiedades</w:t>
      </w:r>
      <w:r w:rsidR="00214DF7">
        <w:t xml:space="preserve"> </w:t>
      </w:r>
      <w:r>
        <w:t>esenciales de los paisajes</w:t>
      </w:r>
      <w:r w:rsidR="0041412B">
        <w:t xml:space="preserve"> </w:t>
      </w:r>
      <w:r>
        <w:t>(Mateo 2002):</w:t>
      </w:r>
    </w:p>
    <w:p w14:paraId="61BAA0A3" w14:textId="48F05670" w:rsidR="00352014" w:rsidRDefault="00C66C22" w:rsidP="00F820A2">
      <w:pPr>
        <w:pStyle w:val="Prrafodelista"/>
        <w:numPr>
          <w:ilvl w:val="0"/>
          <w:numId w:val="1"/>
        </w:numPr>
        <w:jc w:val="both"/>
      </w:pPr>
      <w:r w:rsidRPr="00352014">
        <w:rPr>
          <w:u w:val="single"/>
        </w:rPr>
        <w:t>Principio histórico-evolutivo</w:t>
      </w:r>
      <w:r>
        <w:t xml:space="preserve">: los componentes de los paisajes </w:t>
      </w:r>
      <w:proofErr w:type="spellStart"/>
      <w:r>
        <w:t>coevolucionan</w:t>
      </w:r>
      <w:proofErr w:type="spellEnd"/>
      <w:r w:rsidR="00352014">
        <w:t xml:space="preserve"> (</w:t>
      </w:r>
      <w:r w:rsidR="0041412B">
        <w:t>ninguno</w:t>
      </w:r>
      <w:r w:rsidR="00352014">
        <w:t xml:space="preserve"> aislado de otro)</w:t>
      </w:r>
      <w:r>
        <w:t xml:space="preserve"> en el espacio y el tiempo. Este principio se puede utilizar a través del análisis de aquellos</w:t>
      </w:r>
      <w:r w:rsidR="00214DF7">
        <w:t xml:space="preserve"> </w:t>
      </w:r>
      <w:r>
        <w:t>componentes relativamente más estables en el proceso de evolución natural,</w:t>
      </w:r>
      <w:r w:rsidR="00214DF7">
        <w:t xml:space="preserve"> </w:t>
      </w:r>
      <w:r>
        <w:t>en un lapso determinado</w:t>
      </w:r>
      <w:r w:rsidR="00352014">
        <w:t xml:space="preserve">. </w:t>
      </w:r>
    </w:p>
    <w:p w14:paraId="1C16D870" w14:textId="7AF21E8C" w:rsidR="00C66C22" w:rsidRDefault="00C66C22" w:rsidP="00F820A2">
      <w:pPr>
        <w:pStyle w:val="Prrafodelista"/>
        <w:numPr>
          <w:ilvl w:val="0"/>
          <w:numId w:val="1"/>
        </w:numPr>
        <w:jc w:val="both"/>
      </w:pPr>
      <w:r w:rsidRPr="00352014">
        <w:rPr>
          <w:u w:val="single"/>
        </w:rPr>
        <w:t>Principio estructural-genético:</w:t>
      </w:r>
      <w:r>
        <w:t xml:space="preserve"> todas las entidades geográficas poseen una</w:t>
      </w:r>
      <w:r w:rsidR="00214DF7">
        <w:t xml:space="preserve"> </w:t>
      </w:r>
      <w:r>
        <w:t>determinada estructura y todas son consecuencia de un proceso genético.</w:t>
      </w:r>
      <w:r w:rsidR="00214DF7">
        <w:t xml:space="preserve"> </w:t>
      </w:r>
      <w:r>
        <w:t>El principio estructural implica reconocer las relaciones entre los distintos</w:t>
      </w:r>
      <w:r w:rsidR="00214DF7">
        <w:t xml:space="preserve"> </w:t>
      </w:r>
      <w:r>
        <w:t>componentes de la estructura vertical del paisaje, es decir, entre roca, relieve,</w:t>
      </w:r>
      <w:r w:rsidR="00214DF7">
        <w:t xml:space="preserve"> </w:t>
      </w:r>
      <w:r>
        <w:t>condiciones hidro–climáticas, suelos y biota. El principio genético implica reconocer las causas y las condiciones de la formación del paisaje. Por un lado, la distribución de algunos de sus</w:t>
      </w:r>
      <w:r w:rsidR="00214DF7">
        <w:t xml:space="preserve"> </w:t>
      </w:r>
      <w:r>
        <w:t>componentes</w:t>
      </w:r>
      <w:r w:rsidR="00352014">
        <w:t>,</w:t>
      </w:r>
      <w:r>
        <w:t xml:space="preserve"> por otro, condiciona su capacidad de asociación como organización espacio-temporal. Por ello, la diferenciación primaria de la estructura (así como su descomposición morfológica)</w:t>
      </w:r>
      <w:r w:rsidR="00214DF7">
        <w:t xml:space="preserve"> </w:t>
      </w:r>
      <w:r>
        <w:t>dependerá, ante todo, del tipo</w:t>
      </w:r>
      <w:r w:rsidR="00214DF7">
        <w:t xml:space="preserve"> </w:t>
      </w:r>
      <w:r>
        <w:t>morfométrico9del relieve</w:t>
      </w:r>
      <w:r w:rsidR="00352014">
        <w:t>.</w:t>
      </w:r>
    </w:p>
    <w:p w14:paraId="4368BF09" w14:textId="4730D0CB" w:rsidR="00C66C22" w:rsidRDefault="00C66C22" w:rsidP="00F820A2">
      <w:pPr>
        <w:jc w:val="both"/>
      </w:pPr>
      <w:r w:rsidRPr="00577983">
        <w:rPr>
          <w:b/>
          <w:bCs/>
          <w:u w:val="single"/>
        </w:rPr>
        <w:t>La diferenciación morfométrica</w:t>
      </w:r>
      <w:r>
        <w:t xml:space="preserve"> es conveniente porque puede derivarse,</w:t>
      </w:r>
      <w:r w:rsidR="001361C5">
        <w:t xml:space="preserve"> </w:t>
      </w:r>
      <w:r>
        <w:t>mediante técnicas automatizadas convencionales, de información topográfica</w:t>
      </w:r>
      <w:r w:rsidR="001361C5">
        <w:t xml:space="preserve"> </w:t>
      </w:r>
      <w:r>
        <w:t>(en general, de modelos digitales del terreno). De forma complementaria, distintas técnicas de interpretación de imágenes de percepción remota también pueden emplearse para la segmentación</w:t>
      </w:r>
      <w:r w:rsidR="001361C5">
        <w:t xml:space="preserve"> </w:t>
      </w:r>
      <w:r>
        <w:t>de diferentes unidades y tipos del relieve de la superficie terrestre. De cualquier manera, ambos enfoques</w:t>
      </w:r>
      <w:r w:rsidR="001361C5">
        <w:t xml:space="preserve"> </w:t>
      </w:r>
      <w:r>
        <w:t xml:space="preserve">pueden ser combinados de acuerdo con las características del grupo de trabajo, de la región en estudio, de la calidad de los datos topográficos, </w:t>
      </w:r>
      <w:proofErr w:type="gramStart"/>
      <w:r>
        <w:t>y</w:t>
      </w:r>
      <w:proofErr w:type="gramEnd"/>
      <w:r>
        <w:t xml:space="preserve"> por tanto,</w:t>
      </w:r>
      <w:r w:rsidR="001361C5">
        <w:t xml:space="preserve"> </w:t>
      </w:r>
      <w:r>
        <w:t>del modelo digital de terreno así como del tiempo y recursos disponibles para</w:t>
      </w:r>
      <w:r w:rsidR="001361C5">
        <w:t xml:space="preserve"> </w:t>
      </w:r>
      <w:r>
        <w:t>el levantamiento.</w:t>
      </w:r>
    </w:p>
    <w:p w14:paraId="10D7D4BF" w14:textId="60469077" w:rsidR="001361C5" w:rsidRDefault="00C66C22" w:rsidP="00F820A2">
      <w:pPr>
        <w:pStyle w:val="Prrafodelista"/>
        <w:numPr>
          <w:ilvl w:val="0"/>
          <w:numId w:val="2"/>
        </w:numPr>
        <w:jc w:val="both"/>
      </w:pPr>
      <w:r w:rsidRPr="0041412B">
        <w:rPr>
          <w:u w:val="single"/>
        </w:rPr>
        <w:t>El principio histórico-evolutivo</w:t>
      </w:r>
      <w:r>
        <w:t xml:space="preserve"> está estrechamente relacionado con el</w:t>
      </w:r>
      <w:r w:rsidR="001361C5">
        <w:t xml:space="preserve"> </w:t>
      </w:r>
      <w:r>
        <w:t>análisis de la génesis del paisaje. Al mismo tiempo, la historia y la génesis</w:t>
      </w:r>
      <w:r w:rsidR="001361C5">
        <w:t xml:space="preserve"> </w:t>
      </w:r>
      <w:r>
        <w:t>del paisaje condicionan las peculiaridades de su estructura. El seguimiento de ambos principios garantiza examinar el paisaje como una integridad</w:t>
      </w:r>
      <w:r w:rsidR="001361C5">
        <w:t xml:space="preserve"> </w:t>
      </w:r>
      <w:r>
        <w:t>natural o antrópico-natural y con ello obtener una jerarquía lógicamente</w:t>
      </w:r>
      <w:r w:rsidR="001361C5">
        <w:t xml:space="preserve"> </w:t>
      </w:r>
      <w:r>
        <w:t xml:space="preserve">fundamentada. </w:t>
      </w:r>
      <w:r w:rsidR="0041412B">
        <w:t>E</w:t>
      </w:r>
      <w:r>
        <w:t>sta propuesta se definen las unidades superiores de los paisajes por los tipos de relieve, es decir, según las grandes unidades que se pueden distinguir al nivel local (considerando nivel local a la unidad de área correspondiente a 1 km2): montañas, lomeríos, rampas de piedemonte, valles y planicies (</w:t>
      </w:r>
      <w:proofErr w:type="spellStart"/>
      <w:r>
        <w:t>acolinadas</w:t>
      </w:r>
      <w:proofErr w:type="spellEnd"/>
      <w:r>
        <w:t xml:space="preserve">, onduladas y </w:t>
      </w:r>
      <w:proofErr w:type="spellStart"/>
      <w:r>
        <w:t>suhorizontales</w:t>
      </w:r>
      <w:proofErr w:type="spellEnd"/>
      <w:r>
        <w:t xml:space="preserve"> (Priego-Santander et al. 2003). Las planicies también incluyen altiplanicies y </w:t>
      </w:r>
      <w:proofErr w:type="spellStart"/>
      <w:r>
        <w:t>peneplanicies</w:t>
      </w:r>
      <w:proofErr w:type="spellEnd"/>
      <w:r w:rsidR="00352014">
        <w:t xml:space="preserve">. </w:t>
      </w:r>
      <w:r>
        <w:t>Las unidades inferiores se obtienen por la desagregación, basada en criterios morfológicos, de las unidades superiores</w:t>
      </w:r>
      <w:r w:rsidR="0041412B">
        <w:t xml:space="preserve"> </w:t>
      </w:r>
      <w:r>
        <w:t xml:space="preserve">y son caracterizadas por la inclinación de las pendientes. </w:t>
      </w:r>
    </w:p>
    <w:p w14:paraId="705EFD4F" w14:textId="0728B783" w:rsidR="0041412B" w:rsidRDefault="0041412B" w:rsidP="00F820A2">
      <w:pPr>
        <w:jc w:val="both"/>
      </w:pPr>
    </w:p>
    <w:p w14:paraId="7682B0A3" w14:textId="0A78BC29" w:rsidR="00577983" w:rsidRPr="00577983" w:rsidRDefault="001361C5" w:rsidP="00F820A2">
      <w:pPr>
        <w:jc w:val="center"/>
        <w:rPr>
          <w:b/>
          <w:bCs/>
          <w:highlight w:val="yellow"/>
        </w:rPr>
      </w:pPr>
      <w:r w:rsidRPr="00577983">
        <w:rPr>
          <w:b/>
          <w:bCs/>
          <w:highlight w:val="yellow"/>
        </w:rPr>
        <w:t>Procedimiento para el levantamiento y cartografía de las unidades superiores de los paisajes a escalas</w:t>
      </w:r>
    </w:p>
    <w:p w14:paraId="58A3CA77" w14:textId="76BAC774" w:rsidR="001361C5" w:rsidRPr="00577983" w:rsidRDefault="001361C5" w:rsidP="00F820A2">
      <w:pPr>
        <w:jc w:val="center"/>
        <w:rPr>
          <w:b/>
          <w:bCs/>
        </w:rPr>
      </w:pPr>
      <w:r w:rsidRPr="00577983">
        <w:rPr>
          <w:b/>
          <w:bCs/>
          <w:highlight w:val="yellow"/>
        </w:rPr>
        <w:t>1:50 000–1:250 000</w:t>
      </w:r>
    </w:p>
    <w:p w14:paraId="353098A9" w14:textId="245D4ED5" w:rsidR="001361C5" w:rsidRDefault="001361C5" w:rsidP="00F820A2">
      <w:pPr>
        <w:jc w:val="both"/>
      </w:pPr>
    </w:p>
    <w:p w14:paraId="57A796A2" w14:textId="40716AF1" w:rsidR="001361C5" w:rsidRDefault="001361C5" w:rsidP="00F820A2">
      <w:pPr>
        <w:jc w:val="both"/>
      </w:pPr>
      <w:r>
        <w:t xml:space="preserve">El reconocimiento de los tipos de relieve, su composición litológica y tipo climático constituyen el fundamento de la delimitación de los </w:t>
      </w:r>
      <w:proofErr w:type="spellStart"/>
      <w:r>
        <w:t>geocomplejos</w:t>
      </w:r>
      <w:proofErr w:type="spellEnd"/>
      <w:r>
        <w:t xml:space="preserve">. </w:t>
      </w:r>
    </w:p>
    <w:p w14:paraId="5D89CF5D" w14:textId="55D4E365" w:rsidR="00577983" w:rsidRPr="0041412B" w:rsidRDefault="001361C5" w:rsidP="00F820A2">
      <w:pPr>
        <w:pStyle w:val="Prrafodelista"/>
        <w:numPr>
          <w:ilvl w:val="0"/>
          <w:numId w:val="3"/>
        </w:numPr>
        <w:ind w:left="567"/>
        <w:jc w:val="both"/>
        <w:rPr>
          <w:u w:val="single"/>
        </w:rPr>
      </w:pPr>
      <w:r w:rsidRPr="00577983">
        <w:rPr>
          <w:u w:val="single"/>
        </w:rPr>
        <w:t>Área mínima cartografiable</w:t>
      </w:r>
      <w:r w:rsidR="00577983" w:rsidRPr="00577983">
        <w:rPr>
          <w:u w:val="single"/>
        </w:rPr>
        <w:t xml:space="preserve">: </w:t>
      </w:r>
      <w:r>
        <w:t>permite lograr coherencia en la</w:t>
      </w:r>
      <w:r w:rsidR="003345FC">
        <w:t xml:space="preserve"> </w:t>
      </w:r>
      <w:r>
        <w:t xml:space="preserve">representación espacial y eficiencia en la lectura y utilidad del mapa en formato impreso. Este principio indica </w:t>
      </w:r>
      <w:r w:rsidR="00577983">
        <w:t>que,</w:t>
      </w:r>
      <w:r>
        <w:t xml:space="preserve"> a partir de determinada área espacial,</w:t>
      </w:r>
      <w:r w:rsidR="003345FC">
        <w:t xml:space="preserve"> </w:t>
      </w:r>
      <w:r>
        <w:t>los polígonos y sus correspondientes contenidos deben ser generalizados; de</w:t>
      </w:r>
      <w:r w:rsidR="003345FC">
        <w:t xml:space="preserve"> </w:t>
      </w:r>
      <w:r>
        <w:t xml:space="preserve">lo contrario, dificultarían la distinción por parte del </w:t>
      </w:r>
      <w:r>
        <w:lastRenderedPageBreak/>
        <w:t>usuario cuando se lea en</w:t>
      </w:r>
      <w:r w:rsidR="003345FC">
        <w:t xml:space="preserve"> </w:t>
      </w:r>
      <w:r>
        <w:t>formato analógico (</w:t>
      </w:r>
      <w:proofErr w:type="spellStart"/>
      <w:r>
        <w:t>Salitchev</w:t>
      </w:r>
      <w:proofErr w:type="spellEnd"/>
      <w:r>
        <w:t xml:space="preserve"> 1979). Estas</w:t>
      </w:r>
      <w:r w:rsidR="003345FC">
        <w:t xml:space="preserve"> </w:t>
      </w:r>
      <w:r>
        <w:t xml:space="preserve">áreas deberán ser tomadas en cuenta para definir la composición de las unidades superiores, inferiores y básicas del mapa. En México se ha usado de manera indistinta área mínima cartografiable de 2 x 2 </w:t>
      </w:r>
      <w:proofErr w:type="spellStart"/>
      <w:r>
        <w:t>mm.</w:t>
      </w:r>
      <w:proofErr w:type="spellEnd"/>
      <w:r>
        <w:t xml:space="preserve"> a 6 x 6 </w:t>
      </w:r>
      <w:proofErr w:type="spellStart"/>
      <w:r>
        <w:t>mm.</w:t>
      </w:r>
      <w:proofErr w:type="spellEnd"/>
      <w:r>
        <w:t xml:space="preserve"> A </w:t>
      </w:r>
      <w:r w:rsidR="00577983">
        <w:t>nivel internacional</w:t>
      </w:r>
      <w:r>
        <w:t xml:space="preserve">, la más empleada es de 5 x 5 </w:t>
      </w:r>
      <w:proofErr w:type="spellStart"/>
      <w:r>
        <w:t>mm.</w:t>
      </w:r>
      <w:proofErr w:type="spellEnd"/>
      <w:r>
        <w:t xml:space="preserve"> (</w:t>
      </w:r>
      <w:proofErr w:type="spellStart"/>
      <w:r>
        <w:t>Salitchev</w:t>
      </w:r>
      <w:proofErr w:type="spellEnd"/>
      <w:r>
        <w:t xml:space="preserve"> 1979</w:t>
      </w:r>
      <w:r w:rsidR="00577983">
        <w:t>)</w:t>
      </w:r>
      <w:r w:rsidR="006E4451">
        <w:t xml:space="preserve"> </w:t>
      </w:r>
      <w:r w:rsidR="00577983" w:rsidRPr="006E4451">
        <w:rPr>
          <w:sz w:val="18"/>
          <w:szCs w:val="18"/>
        </w:rPr>
        <w:t>(</w:t>
      </w:r>
      <w:r w:rsidR="00577983" w:rsidRPr="006E4451">
        <w:rPr>
          <w:sz w:val="18"/>
          <w:szCs w:val="18"/>
          <w:highlight w:val="green"/>
        </w:rPr>
        <w:t>cuadro 1)</w:t>
      </w:r>
      <w:r w:rsidRPr="006E4451">
        <w:rPr>
          <w:sz w:val="18"/>
          <w:szCs w:val="18"/>
          <w:highlight w:val="green"/>
        </w:rPr>
        <w:t>.</w:t>
      </w:r>
    </w:p>
    <w:p w14:paraId="69362E48" w14:textId="77777777" w:rsidR="0041412B" w:rsidRPr="00577983" w:rsidRDefault="0041412B" w:rsidP="00F820A2">
      <w:pPr>
        <w:pStyle w:val="Prrafodelista"/>
        <w:ind w:left="567"/>
        <w:jc w:val="both"/>
        <w:rPr>
          <w:u w:val="single"/>
        </w:rPr>
      </w:pPr>
    </w:p>
    <w:p w14:paraId="1F50B015" w14:textId="667B626B" w:rsidR="00577983" w:rsidRDefault="001361C5" w:rsidP="00F820A2">
      <w:pPr>
        <w:pStyle w:val="Prrafodelista"/>
        <w:numPr>
          <w:ilvl w:val="0"/>
          <w:numId w:val="3"/>
        </w:numPr>
        <w:ind w:left="567"/>
        <w:jc w:val="both"/>
      </w:pPr>
      <w:r w:rsidRPr="00577983">
        <w:rPr>
          <w:u w:val="single"/>
        </w:rPr>
        <w:t>Definición de los tipos de relieve</w:t>
      </w:r>
      <w:r w:rsidR="00577983" w:rsidRPr="00577983">
        <w:rPr>
          <w:u w:val="single"/>
        </w:rPr>
        <w:t>:</w:t>
      </w:r>
      <w:r w:rsidR="00577983">
        <w:t xml:space="preserve"> </w:t>
      </w:r>
      <w:r>
        <w:t>describe el conjunto de formas o irregularidades</w:t>
      </w:r>
      <w:r w:rsidR="003345FC">
        <w:t xml:space="preserve"> </w:t>
      </w:r>
      <w:r>
        <w:t>que presenta la superficie terrestre, y que son resultado de una combinación</w:t>
      </w:r>
      <w:r w:rsidR="003345FC">
        <w:t xml:space="preserve"> </w:t>
      </w:r>
      <w:r>
        <w:t>dada de estructura litológica y topográfica. El concepto de relieve también en</w:t>
      </w:r>
      <w:r w:rsidR="003345FC">
        <w:t xml:space="preserve"> </w:t>
      </w:r>
      <w:r>
        <w:t>cierra la noción de amplitud altitudinal</w:t>
      </w:r>
      <w:r w:rsidR="003345FC">
        <w:t xml:space="preserve"> </w:t>
      </w:r>
      <w:r>
        <w:t>o altura relativa entre dos puntos, el</w:t>
      </w:r>
      <w:r w:rsidR="003345FC">
        <w:t xml:space="preserve"> </w:t>
      </w:r>
      <w:r>
        <w:t>más bajo y el más alto de una unidad, medida en metros. Aunque en forma</w:t>
      </w:r>
      <w:r w:rsidR="00465F0C">
        <w:t xml:space="preserve"> </w:t>
      </w:r>
      <w:r>
        <w:t>redundante, se suele usar también el concepto de amplitud del relieve (o relieve</w:t>
      </w:r>
      <w:r w:rsidR="00465F0C">
        <w:t xml:space="preserve"> </w:t>
      </w:r>
      <w:r>
        <w:t>interno) para describir el desnivel o distancia vertical entre dos puntos de una</w:t>
      </w:r>
      <w:r w:rsidR="00465F0C">
        <w:t xml:space="preserve"> </w:t>
      </w:r>
      <w:r>
        <w:t>unidad, en general, el de mayor y el de menor altitud.</w:t>
      </w:r>
    </w:p>
    <w:p w14:paraId="6BCDBF58" w14:textId="77777777" w:rsidR="00F12ABB" w:rsidRDefault="00F12ABB" w:rsidP="00F820A2">
      <w:pPr>
        <w:pStyle w:val="Prrafodelista"/>
        <w:jc w:val="both"/>
      </w:pPr>
    </w:p>
    <w:p w14:paraId="22CFDE30" w14:textId="4380939B" w:rsidR="00577983" w:rsidRDefault="001361C5" w:rsidP="00F820A2">
      <w:pPr>
        <w:pStyle w:val="Prrafodelista"/>
        <w:numPr>
          <w:ilvl w:val="0"/>
          <w:numId w:val="3"/>
        </w:numPr>
        <w:ind w:left="567"/>
        <w:jc w:val="both"/>
      </w:pPr>
      <w:r w:rsidRPr="00577983">
        <w:rPr>
          <w:u w:val="single"/>
        </w:rPr>
        <w:t>Los relieves se describen y tipifican utilizando índices morfométricos</w:t>
      </w:r>
      <w:r w:rsidR="00577983" w:rsidRPr="00577983">
        <w:rPr>
          <w:u w:val="single"/>
        </w:rPr>
        <w:t xml:space="preserve">: </w:t>
      </w:r>
      <w:r>
        <w:t>La</w:t>
      </w:r>
      <w:r w:rsidR="00B54F5F">
        <w:t xml:space="preserve"> </w:t>
      </w:r>
      <w:r>
        <w:t xml:space="preserve">morfometría permite describir en términos cuantitativos una unidad de terreno. Los índices más comunes son la hipsometría, la amplitud de relieve, la inclinación y orientación de la pendiente, entre otros. </w:t>
      </w:r>
    </w:p>
    <w:p w14:paraId="3441188C" w14:textId="7669625F" w:rsidR="00577983" w:rsidRDefault="001361C5" w:rsidP="00F820A2">
      <w:pPr>
        <w:pStyle w:val="Prrafodelista"/>
        <w:ind w:left="567"/>
        <w:jc w:val="both"/>
      </w:pPr>
      <w:r>
        <w:t>Las montañas, lomeríos y planicies se definen según el cálculo de la altura</w:t>
      </w:r>
      <w:r w:rsidR="00B54F5F">
        <w:t xml:space="preserve"> </w:t>
      </w:r>
      <w:r>
        <w:t>relativa o la amplitud del relieve, que ofrece el potencial para la disección vertical de éste. En el caso de las rampas de piedemonte y los valles, la definición</w:t>
      </w:r>
      <w:r w:rsidR="00B54F5F">
        <w:t xml:space="preserve"> </w:t>
      </w:r>
      <w:r>
        <w:t>morfométrica es más compleja, y es necesario interpretar los modelos digitales</w:t>
      </w:r>
      <w:r w:rsidR="00B54F5F">
        <w:t xml:space="preserve"> </w:t>
      </w:r>
      <w:r>
        <w:t>de elevación (o un insumo de percepción remota si es asequible) de manera semiautomatizada. Los valles son también grandes unidades de relieve producto de la incisión fluvial, y están constituidos por un gran número de geoformas subordinadas, tales como las terrazas, vegas, etc.</w:t>
      </w:r>
    </w:p>
    <w:p w14:paraId="41322D85" w14:textId="5F024682" w:rsidR="00D55BBE" w:rsidRDefault="001361C5" w:rsidP="00F820A2">
      <w:pPr>
        <w:pStyle w:val="Prrafodelista"/>
        <w:ind w:left="567"/>
        <w:jc w:val="both"/>
      </w:pPr>
      <w:r>
        <w:t>El insumo necesario para la elaboración del mapa de disección vertical lo</w:t>
      </w:r>
      <w:r w:rsidR="00B54F5F">
        <w:t xml:space="preserve"> </w:t>
      </w:r>
      <w:r>
        <w:t>constituyen los modelos digitales de terreno, que generalmente se derivan de</w:t>
      </w:r>
      <w:r w:rsidR="00B54F5F">
        <w:t xml:space="preserve"> </w:t>
      </w:r>
      <w:r>
        <w:t>curvas de nivel digitalizadas de un mapa topográfico. Es conveniente trabajar con modelos más detallados y a una escala más fina que la escala</w:t>
      </w:r>
      <w:r w:rsidR="00B54F5F">
        <w:t xml:space="preserve"> </w:t>
      </w:r>
      <w:r>
        <w:t>del trabajo en cuestión, sobre todo para afinar y obtener límites más precisos</w:t>
      </w:r>
      <w:r w:rsidR="00B54F5F">
        <w:t xml:space="preserve"> </w:t>
      </w:r>
      <w:r>
        <w:t>entre las unidades correspondientes a las zonas de planicie. El tratamiento cuantitativo se mejora con el análisis de modelos sombreados, análisis de imágenes de percepción remota (fotografías aéreas, imágenes satelitales) y trabajo de campo, así como la consulta de los mapas topográficos en formato analógico o las curvas de nivel desplegadas en pantalla.</w:t>
      </w:r>
      <w:r w:rsidR="00D55BBE">
        <w:t xml:space="preserve"> </w:t>
      </w:r>
      <w:r>
        <w:t>Existe el mapa de la disección vertical de México a escala 1:250 000 elaborado por el Instituto Nacional de Ecología (INE) (véase la sección Cartografía</w:t>
      </w:r>
      <w:r w:rsidR="00934705">
        <w:t xml:space="preserve"> </w:t>
      </w:r>
      <w:r>
        <w:t xml:space="preserve">en Línea en </w:t>
      </w:r>
      <w:hyperlink r:id="rId5" w:history="1">
        <w:r w:rsidR="00D55BBE" w:rsidRPr="000B1862">
          <w:rPr>
            <w:rStyle w:val="Hipervnculo"/>
          </w:rPr>
          <w:t>www.ine.gob.mx</w:t>
        </w:r>
      </w:hyperlink>
      <w:r>
        <w:t>)</w:t>
      </w:r>
      <w:r w:rsidR="00D55BBE">
        <w:t>(</w:t>
      </w:r>
      <w:r w:rsidRPr="006E4451">
        <w:rPr>
          <w:sz w:val="18"/>
          <w:szCs w:val="18"/>
          <w:highlight w:val="green"/>
        </w:rPr>
        <w:t>cuadro 2</w:t>
      </w:r>
      <w:r w:rsidR="00D55BBE" w:rsidRPr="006E4451">
        <w:rPr>
          <w:sz w:val="18"/>
          <w:szCs w:val="18"/>
          <w:highlight w:val="green"/>
        </w:rPr>
        <w:t>).</w:t>
      </w:r>
      <w:r w:rsidR="00D55BBE" w:rsidRPr="006E4451">
        <w:rPr>
          <w:sz w:val="18"/>
          <w:szCs w:val="18"/>
        </w:rPr>
        <w:t xml:space="preserve"> </w:t>
      </w:r>
      <w:r w:rsidR="00D55BBE">
        <w:t>A escala</w:t>
      </w:r>
      <w:r>
        <w:t xml:space="preserve"> 1:250 000 sólo se define el tipo de relieve,</w:t>
      </w:r>
      <w:r w:rsidR="00934705">
        <w:t xml:space="preserve"> </w:t>
      </w:r>
      <w:r>
        <w:t>mientras que a escalas más finas se propone la descomposición de los tipos morfométricos por niveles de disección vertical, o amplitud parcial del relieve</w:t>
      </w:r>
      <w:r w:rsidR="00D55BBE">
        <w:t xml:space="preserve"> </w:t>
      </w:r>
      <w:r w:rsidR="00D55BBE" w:rsidRPr="006E4451">
        <w:rPr>
          <w:sz w:val="18"/>
          <w:szCs w:val="18"/>
          <w:highlight w:val="green"/>
        </w:rPr>
        <w:t>(c</w:t>
      </w:r>
      <w:r w:rsidRPr="006E4451">
        <w:rPr>
          <w:sz w:val="18"/>
          <w:szCs w:val="18"/>
          <w:highlight w:val="green"/>
        </w:rPr>
        <w:t>uadro 3</w:t>
      </w:r>
      <w:r w:rsidR="00D55BBE" w:rsidRPr="006E4451">
        <w:rPr>
          <w:sz w:val="18"/>
          <w:szCs w:val="18"/>
          <w:highlight w:val="green"/>
        </w:rPr>
        <w:t>).</w:t>
      </w:r>
    </w:p>
    <w:p w14:paraId="5F2CAB42" w14:textId="77777777" w:rsidR="00D55BBE" w:rsidRDefault="00981786" w:rsidP="00F820A2">
      <w:pPr>
        <w:pStyle w:val="Prrafodelista"/>
        <w:ind w:left="567"/>
        <w:jc w:val="both"/>
      </w:pPr>
      <w:r w:rsidRPr="00981786">
        <w:t xml:space="preserve">Del análisis de </w:t>
      </w:r>
      <w:r w:rsidR="00D55BBE" w:rsidRPr="00981786">
        <w:t>los cuadros</w:t>
      </w:r>
      <w:r w:rsidRPr="00981786">
        <w:t xml:space="preserve"> 2 y 3 se desprende que:</w:t>
      </w:r>
    </w:p>
    <w:p w14:paraId="0356D476" w14:textId="77777777" w:rsidR="00D55BBE" w:rsidRDefault="00981786" w:rsidP="00F820A2">
      <w:pPr>
        <w:pStyle w:val="Prrafodelista"/>
        <w:numPr>
          <w:ilvl w:val="0"/>
          <w:numId w:val="4"/>
        </w:numPr>
        <w:jc w:val="both"/>
      </w:pPr>
      <w:r>
        <w:t xml:space="preserve">Las planicies </w:t>
      </w:r>
      <w:proofErr w:type="spellStart"/>
      <w:r>
        <w:t>subhorizontales</w:t>
      </w:r>
      <w:proofErr w:type="spellEnd"/>
      <w:r>
        <w:t xml:space="preserve"> poseen la misma nomenclatura y clasificación a todas las escalas</w:t>
      </w:r>
      <w:r w:rsidR="00D55BBE">
        <w:t xml:space="preserve">. </w:t>
      </w:r>
      <w:r>
        <w:t>La palabra “</w:t>
      </w:r>
      <w:proofErr w:type="spellStart"/>
      <w:r>
        <w:t>subhorizontal</w:t>
      </w:r>
      <w:proofErr w:type="spellEnd"/>
      <w:r>
        <w:t>” significa que son superficies casi planas, de muy baja amplitud, cuya inclinación generalmente será menor a 2o.</w:t>
      </w:r>
    </w:p>
    <w:p w14:paraId="4496A7FC" w14:textId="77777777" w:rsidR="00D55BBE" w:rsidRDefault="00981786" w:rsidP="00F820A2">
      <w:pPr>
        <w:pStyle w:val="Prrafodelista"/>
        <w:numPr>
          <w:ilvl w:val="0"/>
          <w:numId w:val="4"/>
        </w:numPr>
        <w:jc w:val="both"/>
      </w:pPr>
      <w:r>
        <w:t xml:space="preserve">La especificación del grado de </w:t>
      </w:r>
      <w:proofErr w:type="spellStart"/>
      <w:r>
        <w:t>Dv</w:t>
      </w:r>
      <w:proofErr w:type="spellEnd"/>
      <w:r>
        <w:t xml:space="preserve"> a la escala 1:250 000 aparece inmediatamente después de la nomenclatura del tipo de relieve, mientras que a la</w:t>
      </w:r>
      <w:r w:rsidR="00934705">
        <w:t xml:space="preserve"> </w:t>
      </w:r>
      <w:r>
        <w:t>escala 1:50 000 se señala hasta el final de la definición.</w:t>
      </w:r>
    </w:p>
    <w:p w14:paraId="7EC81B3B" w14:textId="1E995F22" w:rsidR="00981786" w:rsidRDefault="00981786" w:rsidP="00F820A2">
      <w:pPr>
        <w:pStyle w:val="Prrafodelista"/>
        <w:numPr>
          <w:ilvl w:val="0"/>
          <w:numId w:val="4"/>
        </w:numPr>
        <w:jc w:val="both"/>
      </w:pPr>
      <w:r>
        <w:t xml:space="preserve"> La clasificación morfométrica del relieve constituye una primera aproximación para comenzar a elaborar el mapa de paisajes; ninguna categoría</w:t>
      </w:r>
      <w:r w:rsidR="00934705">
        <w:t xml:space="preserve"> </w:t>
      </w:r>
      <w:r>
        <w:t>genética de los paisajes puede ser obtenida sólo de la clasificación morfométrica. La clasificación morfométrica de los tipos de relieve nos permite conocer la diferenciación inicial del territorio en planicies, lomeríos y</w:t>
      </w:r>
      <w:r w:rsidR="00934705">
        <w:t xml:space="preserve"> </w:t>
      </w:r>
      <w:r>
        <w:t>montañas (y sus grados de disección).</w:t>
      </w:r>
      <w:r w:rsidR="00934705">
        <w:t xml:space="preserve"> </w:t>
      </w:r>
    </w:p>
    <w:p w14:paraId="770357C4" w14:textId="77777777" w:rsidR="00D55BBE" w:rsidRDefault="00D55BBE" w:rsidP="00F820A2">
      <w:pPr>
        <w:pStyle w:val="Prrafodelista"/>
        <w:ind w:left="1287"/>
        <w:jc w:val="both"/>
      </w:pPr>
    </w:p>
    <w:p w14:paraId="7D96514A" w14:textId="45555F0F" w:rsidR="00D55BBE" w:rsidRDefault="00981786" w:rsidP="00F820A2">
      <w:pPr>
        <w:pStyle w:val="Prrafodelista"/>
        <w:numPr>
          <w:ilvl w:val="0"/>
          <w:numId w:val="3"/>
        </w:numPr>
        <w:jc w:val="both"/>
      </w:pPr>
      <w:r w:rsidRPr="00D55BBE">
        <w:rPr>
          <w:u w:val="single"/>
        </w:rPr>
        <w:t>Definición de la composición litológica de los tipos de relieve</w:t>
      </w:r>
      <w:r w:rsidR="00D55BBE" w:rsidRPr="00D55BBE">
        <w:rPr>
          <w:u w:val="single"/>
        </w:rPr>
        <w:t xml:space="preserve">: </w:t>
      </w:r>
      <w:r w:rsidR="00715481">
        <w:t>La d</w:t>
      </w:r>
      <w:r>
        <w:t>etermin</w:t>
      </w:r>
      <w:r w:rsidR="00715481">
        <w:t xml:space="preserve">ación de </w:t>
      </w:r>
      <w:r>
        <w:t>la composición litológica (rocas o depósitos) de los tipos de relieves</w:t>
      </w:r>
      <w:r w:rsidR="00715481">
        <w:t xml:space="preserve"> </w:t>
      </w:r>
      <w:r>
        <w:t>es esencial para conocer la génesis</w:t>
      </w:r>
      <w:r w:rsidR="00934705">
        <w:t xml:space="preserve"> </w:t>
      </w:r>
      <w:r>
        <w:t>del paisaje y para comprender las particularidades de la cubierta de suelos. Los</w:t>
      </w:r>
      <w:r w:rsidR="00934705">
        <w:t xml:space="preserve"> </w:t>
      </w:r>
      <w:r>
        <w:t>insumos para este paso son el mapa de tipos de relieve y el mapa litológico.</w:t>
      </w:r>
      <w:r w:rsidR="00934705">
        <w:t xml:space="preserve"> </w:t>
      </w:r>
      <w:r>
        <w:t>Lo ideal es que ambos estén a la misma escala. Las principales</w:t>
      </w:r>
      <w:r w:rsidR="00934705">
        <w:t xml:space="preserve"> </w:t>
      </w:r>
      <w:r>
        <w:t>fuentes de datos para todo el país son INEGI y el SGM (Servicio Geológico</w:t>
      </w:r>
      <w:r w:rsidR="00934705">
        <w:t xml:space="preserve"> </w:t>
      </w:r>
      <w:r>
        <w:t xml:space="preserve">Mexicano, ex Consejo de Recursos Minerales o COREMI). </w:t>
      </w:r>
      <w:r w:rsidR="00D55BBE">
        <w:t xml:space="preserve"> </w:t>
      </w:r>
    </w:p>
    <w:p w14:paraId="09316281" w14:textId="64542A21" w:rsidR="00D55BBE" w:rsidRDefault="00981786" w:rsidP="00F820A2">
      <w:pPr>
        <w:pStyle w:val="Prrafodelista"/>
        <w:jc w:val="both"/>
      </w:pPr>
      <w:r>
        <w:lastRenderedPageBreak/>
        <w:t>Esto es esencial para conocer la génesis</w:t>
      </w:r>
      <w:r w:rsidR="00934705">
        <w:t xml:space="preserve"> </w:t>
      </w:r>
      <w:r>
        <w:t xml:space="preserve">del paisaje y para comprender las particularidades de la cubierta de suelos. </w:t>
      </w:r>
      <w:r w:rsidRPr="00981786">
        <w:rPr>
          <w:highlight w:val="yellow"/>
        </w:rPr>
        <w:t>Al cruzar el mapa de tipos de relieve con el geológico, la primera acción</w:t>
      </w:r>
      <w:r w:rsidR="00934705">
        <w:rPr>
          <w:highlight w:val="yellow"/>
        </w:rPr>
        <w:t xml:space="preserve"> </w:t>
      </w:r>
      <w:r w:rsidRPr="00981786">
        <w:rPr>
          <w:highlight w:val="yellow"/>
        </w:rPr>
        <w:t>consiste en eliminar todos los polígonos que no cumplen con el área mínima</w:t>
      </w:r>
      <w:r w:rsidR="00934705">
        <w:rPr>
          <w:highlight w:val="yellow"/>
        </w:rPr>
        <w:t xml:space="preserve"> </w:t>
      </w:r>
      <w:r w:rsidRPr="00981786">
        <w:rPr>
          <w:highlight w:val="yellow"/>
        </w:rPr>
        <w:t>cartografiable.</w:t>
      </w:r>
      <w:r>
        <w:t xml:space="preserve"> Esto no debe hacerse automáticamente, sino de manera supervisada por el intérprete, ya que es necesario conservar el polígono del tipo de</w:t>
      </w:r>
      <w:r w:rsidR="00934705">
        <w:t xml:space="preserve"> </w:t>
      </w:r>
      <w:r>
        <w:t>relieve y generalizar la litología</w:t>
      </w:r>
      <w:r w:rsidR="00715481">
        <w:t xml:space="preserve"> </w:t>
      </w:r>
      <w:r w:rsidR="00715481" w:rsidRPr="006E4451">
        <w:rPr>
          <w:sz w:val="18"/>
          <w:szCs w:val="18"/>
          <w:highlight w:val="green"/>
        </w:rPr>
        <w:t>(cuadro</w:t>
      </w:r>
      <w:r w:rsidRPr="006E4451">
        <w:rPr>
          <w:sz w:val="18"/>
          <w:szCs w:val="18"/>
          <w:highlight w:val="green"/>
        </w:rPr>
        <w:t xml:space="preserve"> 4</w:t>
      </w:r>
      <w:r w:rsidR="00715481" w:rsidRPr="006E4451">
        <w:rPr>
          <w:sz w:val="18"/>
          <w:szCs w:val="18"/>
          <w:highlight w:val="green"/>
        </w:rPr>
        <w:t>).</w:t>
      </w:r>
      <w:r w:rsidR="00715481" w:rsidRPr="006E4451">
        <w:rPr>
          <w:sz w:val="18"/>
          <w:szCs w:val="18"/>
        </w:rPr>
        <w:t xml:space="preserve"> </w:t>
      </w:r>
      <w:r w:rsidRPr="006E4451">
        <w:rPr>
          <w:sz w:val="18"/>
          <w:szCs w:val="18"/>
        </w:rPr>
        <w:t xml:space="preserve"> </w:t>
      </w:r>
    </w:p>
    <w:p w14:paraId="2099918E" w14:textId="1FEB9C5D" w:rsidR="00D55BBE" w:rsidRDefault="00715481" w:rsidP="00F820A2">
      <w:pPr>
        <w:pStyle w:val="Prrafodelista"/>
        <w:numPr>
          <w:ilvl w:val="0"/>
          <w:numId w:val="3"/>
        </w:numPr>
        <w:jc w:val="both"/>
      </w:pPr>
      <w:r w:rsidRPr="00715481">
        <w:rPr>
          <w:u w:val="single"/>
        </w:rPr>
        <w:t>G</w:t>
      </w:r>
      <w:r w:rsidR="00981786" w:rsidRPr="00715481">
        <w:rPr>
          <w:u w:val="single"/>
        </w:rPr>
        <w:t>eneralización conceptual.</w:t>
      </w:r>
      <w:r w:rsidR="00981786">
        <w:t xml:space="preserve"> Ésta consiste en la fusión de polígonos que poseen tipos de</w:t>
      </w:r>
      <w:r w:rsidR="00934705">
        <w:t xml:space="preserve"> </w:t>
      </w:r>
      <w:r w:rsidR="00981786">
        <w:t>relieve análogos o litologías cercanas, o ambas condiciones. La generalización</w:t>
      </w:r>
      <w:r w:rsidR="00934705">
        <w:t xml:space="preserve"> </w:t>
      </w:r>
      <w:r w:rsidR="00981786">
        <w:t>conceptual sólo puede realizarse al interior de una misma clase de relieve, pero no pueden fusionarse polígonos</w:t>
      </w:r>
      <w:r w:rsidR="00934705">
        <w:t xml:space="preserve"> </w:t>
      </w:r>
      <w:r w:rsidR="00981786">
        <w:t xml:space="preserve">de lomeríos con polígonos de planicies </w:t>
      </w:r>
      <w:proofErr w:type="spellStart"/>
      <w:r w:rsidR="00981786">
        <w:t>acolinadas</w:t>
      </w:r>
      <w:proofErr w:type="spellEnd"/>
      <w:r w:rsidR="00981786">
        <w:t xml:space="preserve"> u onduladas, o polígonos</w:t>
      </w:r>
      <w:r w:rsidR="00934705">
        <w:t xml:space="preserve"> </w:t>
      </w:r>
      <w:r w:rsidR="00981786">
        <w:t>de montañas con polígonos de lomeríos.</w:t>
      </w:r>
    </w:p>
    <w:p w14:paraId="36155A92" w14:textId="47A9B83A" w:rsidR="00981786" w:rsidRDefault="00981786" w:rsidP="00F820A2">
      <w:pPr>
        <w:pStyle w:val="Prrafodelista"/>
        <w:jc w:val="both"/>
      </w:pPr>
      <w:r>
        <w:t>Las diferencias morfométricas poseen una connotación ecológica importante que es necesario conservar. Sin embargo, sí es posible realizar generalización al interior de un mismo tipo de relieve cuando existen diferencias</w:t>
      </w:r>
      <w:r w:rsidR="00934705">
        <w:t xml:space="preserve"> </w:t>
      </w:r>
      <w:r>
        <w:t>en disección.</w:t>
      </w:r>
      <w:r w:rsidR="00715481">
        <w:t xml:space="preserve"> </w:t>
      </w:r>
      <w:r>
        <w:t>A diferencia de la generalización espacial, la conceptual no necesita adyacencia entre polígonos</w:t>
      </w:r>
      <w:r w:rsidR="00A7207F">
        <w:t xml:space="preserve"> (</w:t>
      </w:r>
      <w:r>
        <w:t>cuadro 5</w:t>
      </w:r>
      <w:r w:rsidR="00A7207F">
        <w:t xml:space="preserve"> y 6). </w:t>
      </w:r>
      <w:r>
        <w:t xml:space="preserve"> Los únicos casos en los que se puede unir y generalizar litologías diferentes</w:t>
      </w:r>
      <w:r w:rsidR="00934705">
        <w:t xml:space="preserve"> </w:t>
      </w:r>
      <w:r>
        <w:t xml:space="preserve">son aquéllos en donde ambos tipos de rocas o depósitos aparecen </w:t>
      </w:r>
      <w:proofErr w:type="spellStart"/>
      <w:r>
        <w:t>inter-estratificados</w:t>
      </w:r>
      <w:proofErr w:type="spellEnd"/>
      <w:r>
        <w:t>, es decir, donde han ocurrido eventos geológicos o geomorfológicos en el</w:t>
      </w:r>
      <w:r w:rsidR="00934705">
        <w:t xml:space="preserve"> </w:t>
      </w:r>
      <w:r>
        <w:t xml:space="preserve">pasado, que condicionan la vinculación e </w:t>
      </w:r>
      <w:proofErr w:type="spellStart"/>
      <w:r>
        <w:t>interdistribución</w:t>
      </w:r>
      <w:proofErr w:type="spellEnd"/>
      <w:r>
        <w:t xml:space="preserve"> de paquetes de rocas</w:t>
      </w:r>
      <w:r w:rsidR="00934705">
        <w:t xml:space="preserve"> </w:t>
      </w:r>
      <w:r>
        <w:t>o depósitos que por su origen no poseen características aproximadas</w:t>
      </w:r>
      <w:r w:rsidR="00A7207F">
        <w:t xml:space="preserve"> (</w:t>
      </w:r>
      <w:r>
        <w:t>cuadro 7</w:t>
      </w:r>
      <w:r w:rsidR="00A7207F">
        <w:t xml:space="preserve"> y 8)</w:t>
      </w:r>
      <w:r>
        <w:t>. Las unidades que se han obtenido</w:t>
      </w:r>
      <w:r w:rsidR="00934705">
        <w:t xml:space="preserve"> </w:t>
      </w:r>
      <w:r>
        <w:t xml:space="preserve">hasta aquí son de índole </w:t>
      </w:r>
      <w:proofErr w:type="spellStart"/>
      <w:r>
        <w:t>morfolitológicas</w:t>
      </w:r>
      <w:proofErr w:type="spellEnd"/>
      <w:r>
        <w:t>, ya que combinan tipos morfométricos de relieve y tipos de litología.</w:t>
      </w:r>
    </w:p>
    <w:p w14:paraId="7C0FD75C" w14:textId="59799730" w:rsidR="00981786" w:rsidRDefault="00981786" w:rsidP="00F820A2">
      <w:pPr>
        <w:pStyle w:val="Prrafodelista"/>
        <w:numPr>
          <w:ilvl w:val="0"/>
          <w:numId w:val="3"/>
        </w:numPr>
        <w:jc w:val="both"/>
      </w:pPr>
      <w:r w:rsidRPr="00D55BBE">
        <w:rPr>
          <w:u w:val="single"/>
        </w:rPr>
        <w:t xml:space="preserve">Definición del tipo climático para las unidades </w:t>
      </w:r>
      <w:proofErr w:type="spellStart"/>
      <w:r w:rsidRPr="00D55BBE">
        <w:rPr>
          <w:u w:val="single"/>
        </w:rPr>
        <w:t>morfolitológicas</w:t>
      </w:r>
      <w:proofErr w:type="spellEnd"/>
      <w:r w:rsidR="00D55BBE" w:rsidRPr="00D55BBE">
        <w:rPr>
          <w:u w:val="single"/>
        </w:rPr>
        <w:t xml:space="preserve">: </w:t>
      </w:r>
      <w:r>
        <w:t>Los insumos para la ejecución de este</w:t>
      </w:r>
      <w:r w:rsidR="00934705">
        <w:t xml:space="preserve"> </w:t>
      </w:r>
      <w:r>
        <w:t>paso son el mapa obtenido en el paso anterior y el mapa climático. Este último</w:t>
      </w:r>
      <w:r w:rsidR="00934705">
        <w:t xml:space="preserve"> </w:t>
      </w:r>
      <w:r>
        <w:t>(clasificación de Köppen modificada por García 1988) existe para todo el país,</w:t>
      </w:r>
      <w:r w:rsidR="00934705">
        <w:t xml:space="preserve"> </w:t>
      </w:r>
      <w:r>
        <w:t>pero a escala 1:1 000 000, y está disponible en la CONABIO (</w:t>
      </w:r>
      <w:hyperlink r:id="rId6" w:history="1">
        <w:r w:rsidR="00934705" w:rsidRPr="006543FF">
          <w:rPr>
            <w:rStyle w:val="Hipervnculo"/>
          </w:rPr>
          <w:t>www.conabio.gob</w:t>
        </w:r>
      </w:hyperlink>
      <w:r>
        <w:t>.</w:t>
      </w:r>
      <w:r w:rsidR="00934705">
        <w:t xml:space="preserve"> </w:t>
      </w:r>
      <w:proofErr w:type="spellStart"/>
      <w:r>
        <w:t>mx</w:t>
      </w:r>
      <w:proofErr w:type="spellEnd"/>
      <w:r>
        <w:t>).</w:t>
      </w:r>
      <w:r w:rsidR="00CB2249">
        <w:t xml:space="preserve"> </w:t>
      </w:r>
      <w:r>
        <w:t>Si no se poseen los datos requeridos para elaborar el mapa climático no hay otra posibilidad que ampliar el mapa 1:1 000 000; en cuyo caso se deberá prestar especial atención a las premisas siguientes:</w:t>
      </w:r>
      <w:r w:rsidR="00D55BBE">
        <w:t xml:space="preserve"> </w:t>
      </w:r>
    </w:p>
    <w:p w14:paraId="71C8397C" w14:textId="29523259" w:rsidR="00D55BBE" w:rsidRDefault="00D55BBE" w:rsidP="00F820A2">
      <w:pPr>
        <w:pStyle w:val="Prrafodelista"/>
        <w:jc w:val="both"/>
        <w:rPr>
          <w:u w:val="single"/>
        </w:rPr>
      </w:pPr>
    </w:p>
    <w:p w14:paraId="7864D023" w14:textId="1BB723A7" w:rsidR="00D55BBE" w:rsidRDefault="00981786" w:rsidP="00F820A2">
      <w:pPr>
        <w:pStyle w:val="Prrafodelista"/>
        <w:numPr>
          <w:ilvl w:val="0"/>
          <w:numId w:val="6"/>
        </w:numPr>
        <w:ind w:left="1276"/>
        <w:jc w:val="both"/>
      </w:pPr>
      <w:r>
        <w:t>El clima posee distribución continua. Como los tipos climáticos se definen por las relaciones entre las variables precipitación y temperatura y</w:t>
      </w:r>
      <w:r w:rsidR="00934705">
        <w:t xml:space="preserve"> </w:t>
      </w:r>
      <w:r>
        <w:t>éstas poseen distribución continua, generalmente, los climas siguen este</w:t>
      </w:r>
      <w:r w:rsidR="00934705">
        <w:t xml:space="preserve"> </w:t>
      </w:r>
      <w:r>
        <w:t>patrón. Comúnmente los tipos de climas no “brincan” un determinado</w:t>
      </w:r>
      <w:r w:rsidR="00934705">
        <w:t xml:space="preserve"> </w:t>
      </w:r>
      <w:r>
        <w:t>gradiente. Se sigue una secuencia</w:t>
      </w:r>
      <w:r w:rsidR="00934705">
        <w:t xml:space="preserve"> </w:t>
      </w:r>
      <w:r>
        <w:t>que con frecuencia suele ser: frío de montaña- semifrío-templado-semi</w:t>
      </w:r>
      <w:r w:rsidR="00934705">
        <w:t>-</w:t>
      </w:r>
      <w:r>
        <w:t>cálido-cálido, como ocurre en las zonas montañosas con pisos térmicos</w:t>
      </w:r>
      <w:r w:rsidR="00934705">
        <w:t xml:space="preserve"> </w:t>
      </w:r>
      <w:r>
        <w:t>completos. Puede faltar algún subtipo o pueden incluirse los climas secos,</w:t>
      </w:r>
      <w:r w:rsidR="00934705">
        <w:t xml:space="preserve"> </w:t>
      </w:r>
      <w:r>
        <w:t>pero siempre respetando el patrón térmico.</w:t>
      </w:r>
      <w:r w:rsidR="00D55BBE">
        <w:t xml:space="preserve"> </w:t>
      </w:r>
    </w:p>
    <w:p w14:paraId="2EEAF060" w14:textId="77777777" w:rsidR="00D55BBE" w:rsidRDefault="00981786" w:rsidP="00F820A2">
      <w:pPr>
        <w:pStyle w:val="Prrafodelista"/>
        <w:numPr>
          <w:ilvl w:val="0"/>
          <w:numId w:val="6"/>
        </w:numPr>
        <w:ind w:left="1276"/>
        <w:jc w:val="both"/>
      </w:pPr>
      <w:r>
        <w:t>El tipo de clima, con frecuencia, posee difusión espacial regional, es decir,</w:t>
      </w:r>
      <w:r w:rsidR="00934705">
        <w:t xml:space="preserve"> </w:t>
      </w:r>
      <w:r>
        <w:t>los polígonos de tipos climáticos ocupan extensas áreas de centenares y a</w:t>
      </w:r>
      <w:r w:rsidR="00934705">
        <w:t xml:space="preserve"> </w:t>
      </w:r>
      <w:r>
        <w:t>veces miles de km</w:t>
      </w:r>
      <w:proofErr w:type="gramStart"/>
      <w:r>
        <w:t>2</w:t>
      </w:r>
      <w:r w:rsidR="00934705">
        <w:t xml:space="preserve"> </w:t>
      </w:r>
      <w:r>
        <w:t>.</w:t>
      </w:r>
      <w:proofErr w:type="gramEnd"/>
      <w:r>
        <w:t xml:space="preserve"> Este hecho reduce en alguna medida los errores que se</w:t>
      </w:r>
      <w:r w:rsidR="00934705">
        <w:t xml:space="preserve"> </w:t>
      </w:r>
      <w:r>
        <w:t>pueden cometer al ampliar un mapa 1:1 000 000 a otras escalas mayores,</w:t>
      </w:r>
      <w:r w:rsidR="00934705">
        <w:t xml:space="preserve"> </w:t>
      </w:r>
      <w:r>
        <w:t>en cuanto a los límites entre tipos diferentes.</w:t>
      </w:r>
      <w:r w:rsidR="00D55BBE">
        <w:t xml:space="preserve"> </w:t>
      </w:r>
    </w:p>
    <w:p w14:paraId="689075FC" w14:textId="77777777" w:rsidR="00B06BB8" w:rsidRDefault="0048514B" w:rsidP="00F820A2">
      <w:pPr>
        <w:pStyle w:val="Prrafodelista"/>
        <w:numPr>
          <w:ilvl w:val="0"/>
          <w:numId w:val="6"/>
        </w:numPr>
        <w:ind w:left="1276"/>
        <w:jc w:val="both"/>
      </w:pPr>
      <w:r>
        <w:t>Los climas se requieren para caracterizar las unidades superiores de los</w:t>
      </w:r>
      <w:r w:rsidR="00934705">
        <w:t xml:space="preserve"> </w:t>
      </w:r>
      <w:r>
        <w:t>paisajes del nivel local hasta la escala 1:500 000, pero no en la diferenciación o cartografía de unidades intermedias o inferiores; ello reduce</w:t>
      </w:r>
      <w:r w:rsidR="00730D06">
        <w:t xml:space="preserve"> </w:t>
      </w:r>
      <w:r>
        <w:t>los probables errores que podamos cometer en los límites entre tipos</w:t>
      </w:r>
      <w:r w:rsidR="00730D06">
        <w:t xml:space="preserve"> </w:t>
      </w:r>
      <w:r>
        <w:t>diferentes, puesto que son más numerosas las unidades inferiores que</w:t>
      </w:r>
      <w:r w:rsidR="00730D06">
        <w:t xml:space="preserve"> </w:t>
      </w:r>
      <w:r>
        <w:t>las superiores.</w:t>
      </w:r>
      <w:r w:rsidR="00B06BB8">
        <w:t xml:space="preserve"> </w:t>
      </w:r>
    </w:p>
    <w:p w14:paraId="20479200" w14:textId="5F99A7CE" w:rsidR="00CB2249" w:rsidRDefault="0048514B" w:rsidP="00F820A2">
      <w:pPr>
        <w:pStyle w:val="Prrafodelista"/>
        <w:numPr>
          <w:ilvl w:val="0"/>
          <w:numId w:val="6"/>
        </w:numPr>
        <w:ind w:left="1276"/>
        <w:jc w:val="both"/>
      </w:pPr>
      <w:r>
        <w:t>Para muchos tipos climáticos la vegetación puede servir como patrón de</w:t>
      </w:r>
      <w:r w:rsidR="00730D06">
        <w:t xml:space="preserve"> </w:t>
      </w:r>
      <w:r>
        <w:t>referencia y validación. Lo correcto es que la vegetación siga los patrones que aparecen en la literatura y esa distribución “anidada” es la que nos puede servir de patrón de comparación para comprobar la confiabilidad</w:t>
      </w:r>
      <w:r w:rsidR="00730D06">
        <w:t xml:space="preserve"> </w:t>
      </w:r>
      <w:r>
        <w:t xml:space="preserve">del mapa de climas. La operación busca establecer cuál es el tipo de clima que predomina en cada unidad </w:t>
      </w:r>
      <w:proofErr w:type="spellStart"/>
      <w:r>
        <w:t>morfolitológica</w:t>
      </w:r>
      <w:proofErr w:type="spellEnd"/>
      <w:r>
        <w:t>; por lo tanto, aquí tampoco se crearán</w:t>
      </w:r>
      <w:r w:rsidR="00730D06">
        <w:t xml:space="preserve"> </w:t>
      </w:r>
      <w:r>
        <w:t>nuevos polígonos, se trata de una superposición tal y como se procedió en el</w:t>
      </w:r>
      <w:r w:rsidR="00730D06">
        <w:t xml:space="preserve"> </w:t>
      </w:r>
      <w:r>
        <w:t>paso 2.</w:t>
      </w:r>
      <w:r w:rsidR="00CB2249">
        <w:t xml:space="preserve"> </w:t>
      </w:r>
      <w:r w:rsidRPr="00CB2249">
        <w:rPr>
          <w:highlight w:val="yellow"/>
        </w:rPr>
        <w:t>Como primera acción posterior al cruce es necesario eliminar al interior</w:t>
      </w:r>
      <w:r w:rsidR="00730D06" w:rsidRPr="00CB2249">
        <w:rPr>
          <w:highlight w:val="yellow"/>
        </w:rPr>
        <w:t xml:space="preserve"> </w:t>
      </w:r>
      <w:r w:rsidRPr="00CB2249">
        <w:rPr>
          <w:highlight w:val="yellow"/>
        </w:rPr>
        <w:t xml:space="preserve">de cada unidad </w:t>
      </w:r>
      <w:proofErr w:type="spellStart"/>
      <w:r w:rsidRPr="00CB2249">
        <w:rPr>
          <w:highlight w:val="yellow"/>
        </w:rPr>
        <w:t>morfolitológica</w:t>
      </w:r>
      <w:proofErr w:type="spellEnd"/>
      <w:r w:rsidRPr="00CB2249">
        <w:rPr>
          <w:highlight w:val="yellow"/>
        </w:rPr>
        <w:t xml:space="preserve"> todo polígono de clima que no cumpla con</w:t>
      </w:r>
      <w:r w:rsidR="00730D06" w:rsidRPr="00CB2249">
        <w:rPr>
          <w:highlight w:val="yellow"/>
        </w:rPr>
        <w:t xml:space="preserve"> </w:t>
      </w:r>
      <w:r w:rsidRPr="00CB2249">
        <w:rPr>
          <w:highlight w:val="yellow"/>
        </w:rPr>
        <w:t>el área mínima cartografiable, es decir, se define para cada unidad del paso 2</w:t>
      </w:r>
      <w:r w:rsidR="00730D06" w:rsidRPr="00CB2249">
        <w:rPr>
          <w:highlight w:val="yellow"/>
        </w:rPr>
        <w:t xml:space="preserve"> </w:t>
      </w:r>
      <w:r w:rsidRPr="00CB2249">
        <w:rPr>
          <w:highlight w:val="yellow"/>
        </w:rPr>
        <w:t xml:space="preserve">sólo aquellos climas que ocupan en cada unidad </w:t>
      </w:r>
      <w:proofErr w:type="spellStart"/>
      <w:r w:rsidRPr="00CB2249">
        <w:rPr>
          <w:highlight w:val="yellow"/>
        </w:rPr>
        <w:t>morfolitológica</w:t>
      </w:r>
      <w:proofErr w:type="spellEnd"/>
      <w:r w:rsidRPr="00CB2249">
        <w:rPr>
          <w:highlight w:val="yellow"/>
        </w:rPr>
        <w:t xml:space="preserve"> un área mayor al mínimo cartografiable</w:t>
      </w:r>
      <w:r w:rsidR="00CB2249">
        <w:t xml:space="preserve"> </w:t>
      </w:r>
      <w:r w:rsidR="00CB2249" w:rsidRPr="006E4451">
        <w:rPr>
          <w:sz w:val="18"/>
          <w:szCs w:val="18"/>
          <w:highlight w:val="green"/>
        </w:rPr>
        <w:t>(</w:t>
      </w:r>
      <w:r w:rsidRPr="006E4451">
        <w:rPr>
          <w:sz w:val="18"/>
          <w:szCs w:val="18"/>
          <w:highlight w:val="green"/>
        </w:rPr>
        <w:t>cuadro 9</w:t>
      </w:r>
      <w:r w:rsidR="00CB2249" w:rsidRPr="006E4451">
        <w:rPr>
          <w:sz w:val="18"/>
          <w:szCs w:val="18"/>
          <w:highlight w:val="green"/>
        </w:rPr>
        <w:t>)</w:t>
      </w:r>
      <w:r w:rsidR="00CB2249" w:rsidRPr="006E4451">
        <w:rPr>
          <w:sz w:val="18"/>
          <w:szCs w:val="18"/>
        </w:rPr>
        <w:t xml:space="preserve">. </w:t>
      </w:r>
      <w:r>
        <w:t>También es importante señalar la nomenclatura y la forma en que se va</w:t>
      </w:r>
      <w:r w:rsidR="00730D06">
        <w:t xml:space="preserve"> </w:t>
      </w:r>
      <w:r>
        <w:t>construyendo la leyenda</w:t>
      </w:r>
      <w:r w:rsidR="00CB2249">
        <w:t xml:space="preserve"> </w:t>
      </w:r>
      <w:r w:rsidR="00CB2249" w:rsidRPr="006E4451">
        <w:rPr>
          <w:sz w:val="18"/>
          <w:szCs w:val="18"/>
          <w:highlight w:val="green"/>
        </w:rPr>
        <w:t>(</w:t>
      </w:r>
      <w:r w:rsidRPr="006E4451">
        <w:rPr>
          <w:sz w:val="18"/>
          <w:szCs w:val="18"/>
          <w:highlight w:val="green"/>
        </w:rPr>
        <w:t>cuadro 10</w:t>
      </w:r>
      <w:r w:rsidR="00CB2249" w:rsidRPr="006E4451">
        <w:rPr>
          <w:sz w:val="18"/>
          <w:szCs w:val="18"/>
          <w:highlight w:val="green"/>
        </w:rPr>
        <w:t>)</w:t>
      </w:r>
      <w:r w:rsidRPr="006E4451">
        <w:rPr>
          <w:sz w:val="18"/>
          <w:szCs w:val="18"/>
        </w:rPr>
        <w:t xml:space="preserve"> </w:t>
      </w:r>
      <w:r>
        <w:t xml:space="preserve">En el cuadro 11 </w:t>
      </w:r>
      <w:r w:rsidR="001E3011">
        <w:t>y 12 s</w:t>
      </w:r>
      <w:r>
        <w:t xml:space="preserve">e presenta </w:t>
      </w:r>
      <w:r w:rsidR="001E3011">
        <w:t xml:space="preserve">la </w:t>
      </w:r>
      <w:r>
        <w:t>leyenda matricial ideal para un</w:t>
      </w:r>
      <w:r w:rsidR="00730D06">
        <w:t xml:space="preserve"> </w:t>
      </w:r>
      <w:r>
        <w:lastRenderedPageBreak/>
        <w:t>territorio con todos los tipos de relieves considerados</w:t>
      </w:r>
      <w:r w:rsidR="001E3011">
        <w:t xml:space="preserve"> y l</w:t>
      </w:r>
      <w:r>
        <w:t xml:space="preserve">a clasificación genética de las unidades </w:t>
      </w:r>
      <w:proofErr w:type="spellStart"/>
      <w:r>
        <w:t>morfolitoclimáticas</w:t>
      </w:r>
      <w:proofErr w:type="spellEnd"/>
      <w:r>
        <w:t>.</w:t>
      </w:r>
    </w:p>
    <w:p w14:paraId="1E308B15" w14:textId="452F6247" w:rsidR="00B06BB8" w:rsidRDefault="0048514B" w:rsidP="00F820A2">
      <w:pPr>
        <w:pStyle w:val="Prrafodelista"/>
        <w:ind w:left="1276"/>
        <w:jc w:val="both"/>
      </w:pPr>
      <w:r>
        <w:t>La introducción de la génesis es opcional, según las posibilidades de cada grupo de</w:t>
      </w:r>
      <w:r w:rsidR="00730D06">
        <w:t xml:space="preserve"> </w:t>
      </w:r>
      <w:r>
        <w:t>trabajo. La ventaja de poder realizar la clasificación genética radica en facilitar</w:t>
      </w:r>
      <w:r w:rsidR="00730D06">
        <w:t xml:space="preserve"> </w:t>
      </w:r>
      <w:r>
        <w:t>la comprensión de la distribución de los suelos y en la solidez de la estructura</w:t>
      </w:r>
      <w:r w:rsidR="00730D06">
        <w:t xml:space="preserve"> </w:t>
      </w:r>
      <w:r>
        <w:t>taxonómica de la leyenda que se logre; sin embargo, dependerá mucho de la</w:t>
      </w:r>
      <w:r w:rsidR="00730D06">
        <w:t xml:space="preserve"> </w:t>
      </w:r>
      <w:r>
        <w:t>experiencia y formación temática de los miembros del grupo de trabajo. Es</w:t>
      </w:r>
      <w:r w:rsidR="00730D06">
        <w:t xml:space="preserve"> </w:t>
      </w:r>
      <w:r>
        <w:t xml:space="preserve">importante señalar que el origen del paisaje es, en realidad, un proceso </w:t>
      </w:r>
      <w:proofErr w:type="spellStart"/>
      <w:r>
        <w:t>poligenético</w:t>
      </w:r>
      <w:proofErr w:type="spellEnd"/>
      <w:r>
        <w:t xml:space="preserve"> que abarca mucho más que el proceso de formación de los materiales geológicos que componen al tipo dado de relieve. </w:t>
      </w:r>
    </w:p>
    <w:p w14:paraId="78FF40A1" w14:textId="16C5544A" w:rsidR="0048514B" w:rsidRDefault="0048514B" w:rsidP="00F820A2">
      <w:pPr>
        <w:pStyle w:val="Prrafodelista"/>
        <w:ind w:left="1276"/>
        <w:jc w:val="both"/>
      </w:pPr>
      <w:r>
        <w:t>La vegetación y los suelos, que constituyen atributos de los paisajes hasta la escala 1:50 000 se especifican con posterioridad a la definición de tales</w:t>
      </w:r>
      <w:r w:rsidR="00730D06">
        <w:t xml:space="preserve"> </w:t>
      </w:r>
      <w:r>
        <w:t>componentes para las unidades inferiores de los paisajes, como se plantea a</w:t>
      </w:r>
      <w:r w:rsidR="00730D06">
        <w:t xml:space="preserve"> </w:t>
      </w:r>
      <w:proofErr w:type="spellStart"/>
      <w:r>
        <w:t>continuación.</w:t>
      </w:r>
      <w:r w:rsidR="00B06BB8">
        <w:t>x</w:t>
      </w:r>
      <w:proofErr w:type="spellEnd"/>
    </w:p>
    <w:p w14:paraId="2804D4BC" w14:textId="4B848FF6" w:rsidR="0048514B" w:rsidRDefault="0048514B" w:rsidP="00F820A2">
      <w:pPr>
        <w:jc w:val="both"/>
      </w:pPr>
    </w:p>
    <w:p w14:paraId="14DC80C2" w14:textId="77777777" w:rsidR="001E3011" w:rsidRDefault="0048514B" w:rsidP="00F820A2">
      <w:pPr>
        <w:jc w:val="center"/>
        <w:rPr>
          <w:highlight w:val="yellow"/>
        </w:rPr>
      </w:pPr>
      <w:r w:rsidRPr="00577983">
        <w:rPr>
          <w:highlight w:val="yellow"/>
        </w:rPr>
        <w:t>Procedimiento para el levantamiento y cartografía de las unidades inferiores de los paisajes a escalas</w:t>
      </w:r>
    </w:p>
    <w:p w14:paraId="3793A988" w14:textId="54D73467" w:rsidR="0048514B" w:rsidRDefault="0048514B" w:rsidP="00F820A2">
      <w:pPr>
        <w:jc w:val="center"/>
      </w:pPr>
      <w:r w:rsidRPr="00577983">
        <w:rPr>
          <w:highlight w:val="yellow"/>
        </w:rPr>
        <w:t>1:50 000–1:250 000</w:t>
      </w:r>
    </w:p>
    <w:p w14:paraId="252286E5" w14:textId="7A076572" w:rsidR="0048514B" w:rsidRDefault="0048514B" w:rsidP="00F820A2">
      <w:pPr>
        <w:jc w:val="both"/>
      </w:pPr>
      <w:r>
        <w:t>Las unidades inferiores se definen por la descomposición morfológica de los tipos de relieve, o sea, por la definición de las unidades menores que componen a los tipos de relieve.</w:t>
      </w:r>
    </w:p>
    <w:p w14:paraId="678B2B31" w14:textId="5166B897" w:rsidR="0048514B" w:rsidRPr="001E3011" w:rsidRDefault="0048514B" w:rsidP="00F820A2">
      <w:pPr>
        <w:jc w:val="both"/>
        <w:rPr>
          <w:b/>
          <w:bCs/>
          <w:u w:val="single"/>
        </w:rPr>
      </w:pPr>
      <w:r w:rsidRPr="001E3011">
        <w:rPr>
          <w:b/>
          <w:bCs/>
          <w:u w:val="single"/>
        </w:rPr>
        <w:t>Montañas y lomeríos</w:t>
      </w:r>
    </w:p>
    <w:p w14:paraId="2A1E945C" w14:textId="4E648886" w:rsidR="0048514B" w:rsidRPr="001E3011" w:rsidRDefault="0048514B" w:rsidP="00F820A2">
      <w:pPr>
        <w:jc w:val="both"/>
      </w:pPr>
      <w:r w:rsidRPr="001E3011">
        <w:t>Las unidades inferiores son:</w:t>
      </w:r>
    </w:p>
    <w:p w14:paraId="79ABB3AB" w14:textId="2EB7618B" w:rsidR="00B06BB8" w:rsidRDefault="0048514B" w:rsidP="00F820A2">
      <w:pPr>
        <w:pStyle w:val="Prrafodelista"/>
        <w:numPr>
          <w:ilvl w:val="0"/>
          <w:numId w:val="2"/>
        </w:numPr>
        <w:jc w:val="both"/>
      </w:pPr>
      <w:r w:rsidRPr="001E3011">
        <w:rPr>
          <w:u w:val="single"/>
        </w:rPr>
        <w:t>Complejos cumbrales</w:t>
      </w:r>
      <w:r>
        <w:t>: son los complejos de cimas y puertos, incluidos los</w:t>
      </w:r>
      <w:r w:rsidR="00730D06">
        <w:t xml:space="preserve"> </w:t>
      </w:r>
      <w:r>
        <w:t>sectores de parteaguas que en ellos queden incluidos. Resultan de la unión de</w:t>
      </w:r>
      <w:r w:rsidR="00730D06">
        <w:t xml:space="preserve"> </w:t>
      </w:r>
      <w:r>
        <w:t>varias cimas y puertos, siguiendo la curva de nivel inferior más cercana que</w:t>
      </w:r>
      <w:r w:rsidR="00730D06">
        <w:t xml:space="preserve"> </w:t>
      </w:r>
      <w:r>
        <w:t>agrupe a todas esas geoformas. Es difícil encontrar complejos cumbrales con</w:t>
      </w:r>
      <w:r w:rsidR="00730D06">
        <w:t xml:space="preserve"> </w:t>
      </w:r>
      <w:r>
        <w:t>inclinación menor a 1</w:t>
      </w:r>
      <w:r w:rsidR="000F09F2">
        <w:t xml:space="preserve">º </w:t>
      </w:r>
      <w:r w:rsidR="000F09F2" w:rsidRPr="006E4451">
        <w:rPr>
          <w:sz w:val="18"/>
          <w:szCs w:val="18"/>
          <w:highlight w:val="green"/>
        </w:rPr>
        <w:t>(</w:t>
      </w:r>
      <w:r w:rsidRPr="006E4451">
        <w:rPr>
          <w:sz w:val="18"/>
          <w:szCs w:val="18"/>
          <w:highlight w:val="green"/>
        </w:rPr>
        <w:t>cuadro</w:t>
      </w:r>
      <w:r w:rsidR="006E4451" w:rsidRPr="006E4451">
        <w:rPr>
          <w:sz w:val="18"/>
          <w:szCs w:val="18"/>
          <w:highlight w:val="green"/>
        </w:rPr>
        <w:t xml:space="preserve"> </w:t>
      </w:r>
      <w:r w:rsidRPr="006E4451">
        <w:rPr>
          <w:sz w:val="18"/>
          <w:szCs w:val="18"/>
          <w:highlight w:val="green"/>
        </w:rPr>
        <w:t>13</w:t>
      </w:r>
      <w:r w:rsidR="000F09F2" w:rsidRPr="006E4451">
        <w:rPr>
          <w:sz w:val="18"/>
          <w:szCs w:val="18"/>
          <w:highlight w:val="green"/>
        </w:rPr>
        <w:t>)</w:t>
      </w:r>
      <w:r w:rsidRPr="006E4451">
        <w:rPr>
          <w:sz w:val="18"/>
          <w:szCs w:val="18"/>
          <w:highlight w:val="green"/>
        </w:rPr>
        <w:t>.</w:t>
      </w:r>
    </w:p>
    <w:p w14:paraId="3E7344CE" w14:textId="1519D6A4" w:rsidR="00B06BB8" w:rsidRDefault="0048514B" w:rsidP="00F820A2">
      <w:pPr>
        <w:pStyle w:val="Prrafodelista"/>
        <w:numPr>
          <w:ilvl w:val="0"/>
          <w:numId w:val="2"/>
        </w:numPr>
        <w:jc w:val="both"/>
      </w:pPr>
      <w:r w:rsidRPr="001E3011">
        <w:rPr>
          <w:u w:val="single"/>
        </w:rPr>
        <w:t>Complejo de laderas y barrancos:</w:t>
      </w:r>
      <w:r>
        <w:t xml:space="preserve"> son todos los polígonos de unidades que</w:t>
      </w:r>
      <w:r w:rsidR="00730D06">
        <w:t xml:space="preserve"> </w:t>
      </w:r>
      <w:r>
        <w:t>no están en los complejos cumbrales y que poseen más de 3 grados de inclinación de la pendiente</w:t>
      </w:r>
      <w:r w:rsidR="000F09F2">
        <w:t xml:space="preserve">. </w:t>
      </w:r>
      <w:r>
        <w:t>Se subdividen al igual que</w:t>
      </w:r>
      <w:r w:rsidR="00730D06">
        <w:t xml:space="preserve"> </w:t>
      </w:r>
      <w:r>
        <w:t>el caso anterior, pero sin incluir las pendientes menores a 3o. Los complejos de</w:t>
      </w:r>
      <w:r w:rsidR="00730D06">
        <w:t xml:space="preserve"> </w:t>
      </w:r>
      <w:r>
        <w:t>laderas y barrancos incluyen las siguientes unidades morfológicas inferiores:</w:t>
      </w:r>
      <w:r w:rsidR="00B06BB8">
        <w:t xml:space="preserve"> </w:t>
      </w:r>
      <w:r>
        <w:t>laderas con más de 3o de inclinación; parteaguas; cornisas y barrancos existentes al interior de las laderas.</w:t>
      </w:r>
      <w:r w:rsidR="00730D06">
        <w:t xml:space="preserve"> </w:t>
      </w:r>
      <w:r>
        <w:t>Para la definición espacial de estas unidades basta con usar el mapa de</w:t>
      </w:r>
      <w:r w:rsidR="00730D06">
        <w:t xml:space="preserve"> </w:t>
      </w:r>
      <w:r>
        <w:t>pendientes, incluyendo todos los polígonos con inclinación superior a 3o y excluyendo los polígonos correspondientes a los complejos cumbrales y aquellos</w:t>
      </w:r>
      <w:r w:rsidR="00730D06">
        <w:t xml:space="preserve"> </w:t>
      </w:r>
      <w:r>
        <w:t>con inclinación de la pendiente inferior a 3o al interior de los lomeríos y montañas</w:t>
      </w:r>
      <w:r w:rsidR="000F09F2">
        <w:t xml:space="preserve"> </w:t>
      </w:r>
      <w:r w:rsidR="000F09F2" w:rsidRPr="006E4451">
        <w:rPr>
          <w:sz w:val="18"/>
          <w:szCs w:val="18"/>
          <w:highlight w:val="green"/>
        </w:rPr>
        <w:t>(</w:t>
      </w:r>
      <w:r w:rsidRPr="006E4451">
        <w:rPr>
          <w:sz w:val="18"/>
          <w:szCs w:val="18"/>
          <w:highlight w:val="green"/>
        </w:rPr>
        <w:t>cuadro 14</w:t>
      </w:r>
      <w:r w:rsidR="000F09F2" w:rsidRPr="006E4451">
        <w:rPr>
          <w:sz w:val="18"/>
          <w:szCs w:val="18"/>
          <w:highlight w:val="green"/>
        </w:rPr>
        <w:t>).</w:t>
      </w:r>
      <w:r w:rsidR="000F09F2" w:rsidRPr="006E4451">
        <w:rPr>
          <w:sz w:val="18"/>
          <w:szCs w:val="18"/>
        </w:rPr>
        <w:t xml:space="preserve"> </w:t>
      </w:r>
    </w:p>
    <w:p w14:paraId="07B3DD9F" w14:textId="77777777" w:rsidR="000F09F2" w:rsidRDefault="0048514B" w:rsidP="00F820A2">
      <w:pPr>
        <w:pStyle w:val="Prrafodelista"/>
        <w:numPr>
          <w:ilvl w:val="0"/>
          <w:numId w:val="2"/>
        </w:numPr>
        <w:jc w:val="both"/>
      </w:pPr>
      <w:r w:rsidRPr="001E3011">
        <w:rPr>
          <w:u w:val="single"/>
        </w:rPr>
        <w:t>Complejo de superficies y cauces:</w:t>
      </w:r>
      <w:r>
        <w:t xml:space="preserve"> son todos los polígonos, al interior de la montaña o lomerío, que no están incluidos en las unidades anteriores y que, además,</w:t>
      </w:r>
      <w:r w:rsidR="00730D06">
        <w:t xml:space="preserve"> </w:t>
      </w:r>
      <w:r>
        <w:t>poseen menos de tres grados de pendiente.</w:t>
      </w:r>
      <w:r w:rsidR="00B06BB8">
        <w:t xml:space="preserve"> </w:t>
      </w:r>
      <w:r>
        <w:t>Se cartografían juntos las superficies y los cauces, es decir, no constituyen</w:t>
      </w:r>
      <w:r w:rsidR="00730D06">
        <w:t xml:space="preserve"> </w:t>
      </w:r>
      <w:r>
        <w:t>unidades separadas. Los contornos de los cauces de corrientes permanentes,</w:t>
      </w:r>
      <w:r w:rsidR="00730D06">
        <w:t xml:space="preserve"> </w:t>
      </w:r>
      <w:r>
        <w:t>aunque se presentan en el mapa como símbolo convencional (como cualquier</w:t>
      </w:r>
      <w:r w:rsidR="00730D06">
        <w:t xml:space="preserve"> </w:t>
      </w:r>
      <w:r>
        <w:t>río) constituyen parte de esta unidad inferior</w:t>
      </w:r>
      <w:r w:rsidR="000F09F2">
        <w:t xml:space="preserve"> </w:t>
      </w:r>
      <w:r w:rsidR="000F09F2" w:rsidRPr="006E4451">
        <w:rPr>
          <w:highlight w:val="green"/>
        </w:rPr>
        <w:t>(</w:t>
      </w:r>
      <w:r w:rsidRPr="006E4451">
        <w:rPr>
          <w:sz w:val="18"/>
          <w:szCs w:val="18"/>
          <w:highlight w:val="green"/>
        </w:rPr>
        <w:t>cuadro 15</w:t>
      </w:r>
      <w:r w:rsidR="000F09F2" w:rsidRPr="006E4451">
        <w:rPr>
          <w:sz w:val="18"/>
          <w:szCs w:val="18"/>
          <w:highlight w:val="green"/>
        </w:rPr>
        <w:t>).</w:t>
      </w:r>
      <w:r w:rsidR="000F09F2" w:rsidRPr="006E4451">
        <w:rPr>
          <w:sz w:val="18"/>
          <w:szCs w:val="18"/>
        </w:rPr>
        <w:t xml:space="preserve"> </w:t>
      </w:r>
    </w:p>
    <w:p w14:paraId="1188CDF2" w14:textId="77777777" w:rsidR="000F09F2" w:rsidRDefault="000F09F2" w:rsidP="00F820A2">
      <w:pPr>
        <w:jc w:val="both"/>
      </w:pPr>
    </w:p>
    <w:p w14:paraId="768EBA04" w14:textId="68F81D4C" w:rsidR="0048514B" w:rsidRPr="000F09F2" w:rsidRDefault="0048514B" w:rsidP="00F820A2">
      <w:pPr>
        <w:jc w:val="both"/>
        <w:rPr>
          <w:b/>
          <w:bCs/>
          <w:u w:val="single"/>
        </w:rPr>
      </w:pPr>
      <w:r w:rsidRPr="006E4451">
        <w:rPr>
          <w:b/>
          <w:bCs/>
          <w:u w:val="single"/>
        </w:rPr>
        <w:t>Rampas de piedemontes</w:t>
      </w:r>
    </w:p>
    <w:p w14:paraId="6D6C7E20" w14:textId="1EDE5FAB" w:rsidR="0048514B" w:rsidRPr="001E3011" w:rsidRDefault="0048514B" w:rsidP="00F820A2">
      <w:pPr>
        <w:jc w:val="both"/>
      </w:pPr>
      <w:r w:rsidRPr="001E3011">
        <w:t>Las unidades inferiores son:</w:t>
      </w:r>
    </w:p>
    <w:p w14:paraId="6DC88803" w14:textId="03F03500" w:rsidR="00B06BB8" w:rsidRDefault="0048514B" w:rsidP="00F820A2">
      <w:pPr>
        <w:pStyle w:val="Prrafodelista"/>
        <w:numPr>
          <w:ilvl w:val="0"/>
          <w:numId w:val="7"/>
        </w:numPr>
        <w:jc w:val="both"/>
      </w:pPr>
      <w:r w:rsidRPr="001E3011">
        <w:rPr>
          <w:u w:val="single"/>
        </w:rPr>
        <w:t>Complejos de colinas residuales</w:t>
      </w:r>
      <w:r>
        <w:t>: son las prominencias o elevaciones menores</w:t>
      </w:r>
      <w:r w:rsidR="00C87BA4">
        <w:t xml:space="preserve"> </w:t>
      </w:r>
      <w:r>
        <w:t>que se pueden observar al interior de las rampas de piedemontes, o sea, curvas</w:t>
      </w:r>
      <w:r w:rsidR="00C87BA4">
        <w:t xml:space="preserve"> </w:t>
      </w:r>
      <w:r>
        <w:t>de nivel cerradas (al menos dos) que en otras unidades de montañas y lomeríos</w:t>
      </w:r>
      <w:r w:rsidR="00C87BA4">
        <w:t xml:space="preserve"> </w:t>
      </w:r>
      <w:r>
        <w:t>serían cimas, pero que en las rampas de piedemontes se clasifican así. Son formas</w:t>
      </w:r>
      <w:r w:rsidR="00C87BA4">
        <w:t xml:space="preserve"> </w:t>
      </w:r>
      <w:r>
        <w:t>positivas del relieve cuyo origen puede ser acumulativo o erosivo; de forma genérica se clasificarán como “residuales”, es decir, como resultado de alguno de los</w:t>
      </w:r>
      <w:r w:rsidR="00C87BA4">
        <w:t xml:space="preserve"> </w:t>
      </w:r>
      <w:r>
        <w:t>procesos anteriores, sin necesidad de diferenciarlas. Su clasificación es idéntica</w:t>
      </w:r>
      <w:r w:rsidR="00C87BA4">
        <w:t xml:space="preserve"> </w:t>
      </w:r>
      <w:r>
        <w:t xml:space="preserve">a los </w:t>
      </w:r>
      <w:r>
        <w:lastRenderedPageBreak/>
        <w:t>complejos cumbrales</w:t>
      </w:r>
      <w:r w:rsidR="006E4451">
        <w:t xml:space="preserve"> </w:t>
      </w:r>
      <w:r w:rsidR="006E4451" w:rsidRPr="006E4451">
        <w:rPr>
          <w:sz w:val="18"/>
          <w:szCs w:val="18"/>
          <w:highlight w:val="green"/>
        </w:rPr>
        <w:t>(</w:t>
      </w:r>
      <w:r w:rsidRPr="006E4451">
        <w:rPr>
          <w:sz w:val="18"/>
          <w:szCs w:val="18"/>
          <w:highlight w:val="green"/>
        </w:rPr>
        <w:t>cuadro 16</w:t>
      </w:r>
      <w:r w:rsidR="006E4451" w:rsidRPr="006E4451">
        <w:rPr>
          <w:sz w:val="18"/>
          <w:szCs w:val="18"/>
          <w:highlight w:val="green"/>
        </w:rPr>
        <w:t>).</w:t>
      </w:r>
      <w:r w:rsidR="006E4451" w:rsidRPr="006E4451">
        <w:rPr>
          <w:sz w:val="18"/>
          <w:szCs w:val="18"/>
        </w:rPr>
        <w:t xml:space="preserve"> </w:t>
      </w:r>
      <w:r w:rsidRPr="006E4451">
        <w:rPr>
          <w:sz w:val="18"/>
          <w:szCs w:val="18"/>
        </w:rPr>
        <w:t xml:space="preserve"> </w:t>
      </w:r>
      <w:r>
        <w:t>La existencia de complejos de colinas residuales con pendientes mayores a 20o al</w:t>
      </w:r>
      <w:r w:rsidR="00C87BA4">
        <w:t xml:space="preserve"> </w:t>
      </w:r>
      <w:r>
        <w:t xml:space="preserve">interior de las rampas de piedemontes es algo difícil de </w:t>
      </w:r>
      <w:r w:rsidR="006E4451">
        <w:t>hallar,</w:t>
      </w:r>
      <w:r>
        <w:t xml:space="preserve"> pero no totalmente</w:t>
      </w:r>
      <w:r w:rsidR="00C87BA4">
        <w:t xml:space="preserve"> </w:t>
      </w:r>
      <w:r>
        <w:t>imposible. Los complejos de colinas residuales pueden encontrarse en cualquier parte</w:t>
      </w:r>
      <w:r w:rsidR="00C87BA4">
        <w:t xml:space="preserve"> </w:t>
      </w:r>
      <w:r>
        <w:t>del piedemonte, o sea al interior de las otras unidades inferiores.</w:t>
      </w:r>
      <w:r w:rsidR="00B06BB8">
        <w:t xml:space="preserve"> </w:t>
      </w:r>
    </w:p>
    <w:p w14:paraId="44055925" w14:textId="124E7CFC" w:rsidR="00B06BB8" w:rsidRDefault="00730950" w:rsidP="00F820A2">
      <w:pPr>
        <w:pStyle w:val="Prrafodelista"/>
        <w:numPr>
          <w:ilvl w:val="0"/>
          <w:numId w:val="7"/>
        </w:numPr>
        <w:jc w:val="both"/>
      </w:pPr>
      <w:r w:rsidRPr="001E3011">
        <w:rPr>
          <w:u w:val="single"/>
        </w:rPr>
        <w:t xml:space="preserve">Complejos de interfluvios y arroyos </w:t>
      </w:r>
      <w:proofErr w:type="spellStart"/>
      <w:r w:rsidRPr="001E3011">
        <w:rPr>
          <w:u w:val="single"/>
        </w:rPr>
        <w:t>distributarios</w:t>
      </w:r>
      <w:proofErr w:type="spellEnd"/>
      <w:r w:rsidRPr="001E3011">
        <w:rPr>
          <w:u w:val="single"/>
        </w:rPr>
        <w:t>:</w:t>
      </w:r>
      <w:r>
        <w:t xml:space="preserve"> corresponden al mismo</w:t>
      </w:r>
      <w:r w:rsidR="00C87BA4">
        <w:t xml:space="preserve"> </w:t>
      </w:r>
      <w:r>
        <w:t>concepto de complejo de laderas y barrancos de montañas y lomeríos, pero</w:t>
      </w:r>
      <w:r w:rsidR="00C87BA4">
        <w:t xml:space="preserve"> </w:t>
      </w:r>
      <w:r>
        <w:t>en las rampas de piedemontes proponemos usar esta nomenclatura para poder diferenciar automáticamente de qué unidad superior se trata</w:t>
      </w:r>
      <w:r w:rsidR="006E4451">
        <w:t xml:space="preserve"> </w:t>
      </w:r>
      <w:r w:rsidR="006E4451" w:rsidRPr="006E4451">
        <w:rPr>
          <w:sz w:val="18"/>
          <w:szCs w:val="18"/>
          <w:highlight w:val="green"/>
        </w:rPr>
        <w:t>(c</w:t>
      </w:r>
      <w:r w:rsidRPr="006E4451">
        <w:rPr>
          <w:sz w:val="18"/>
          <w:szCs w:val="18"/>
          <w:highlight w:val="green"/>
        </w:rPr>
        <w:t>uadro 17</w:t>
      </w:r>
      <w:r w:rsidR="006E4451" w:rsidRPr="006E4451">
        <w:rPr>
          <w:sz w:val="18"/>
          <w:szCs w:val="18"/>
          <w:highlight w:val="green"/>
        </w:rPr>
        <w:t>).</w:t>
      </w:r>
      <w:r w:rsidR="006E4451" w:rsidRPr="006E4451">
        <w:rPr>
          <w:sz w:val="18"/>
          <w:szCs w:val="18"/>
        </w:rPr>
        <w:t xml:space="preserve"> </w:t>
      </w:r>
      <w:r w:rsidRPr="006E4451">
        <w:rPr>
          <w:sz w:val="18"/>
          <w:szCs w:val="18"/>
        </w:rPr>
        <w:t xml:space="preserve"> </w:t>
      </w:r>
    </w:p>
    <w:p w14:paraId="31C2473A" w14:textId="5EB160A1" w:rsidR="00730950" w:rsidRDefault="00730950" w:rsidP="00F820A2">
      <w:pPr>
        <w:pStyle w:val="Prrafodelista"/>
        <w:numPr>
          <w:ilvl w:val="0"/>
          <w:numId w:val="7"/>
        </w:numPr>
        <w:jc w:val="both"/>
      </w:pPr>
      <w:r w:rsidRPr="001E3011">
        <w:rPr>
          <w:u w:val="single"/>
        </w:rPr>
        <w:t>Complejo de superficies y cauces:</w:t>
      </w:r>
      <w:r>
        <w:t xml:space="preserve"> son los polígonos existentes al interior</w:t>
      </w:r>
      <w:r w:rsidR="00C87BA4">
        <w:t xml:space="preserve"> </w:t>
      </w:r>
      <w:r>
        <w:t>de la rampa de piedemonte con pendientes &lt;3o. Es un concepto idéntico al</w:t>
      </w:r>
      <w:r w:rsidR="00C87BA4">
        <w:t xml:space="preserve"> </w:t>
      </w:r>
      <w:r>
        <w:t>de complejo de superficies y cauces de las montañas y lomeríos</w:t>
      </w:r>
      <w:r w:rsidR="006E4451">
        <w:t xml:space="preserve"> </w:t>
      </w:r>
      <w:r w:rsidR="006E4451" w:rsidRPr="006E4451">
        <w:rPr>
          <w:sz w:val="18"/>
          <w:szCs w:val="18"/>
          <w:highlight w:val="green"/>
        </w:rPr>
        <w:t>(</w:t>
      </w:r>
      <w:r w:rsidRPr="006E4451">
        <w:rPr>
          <w:sz w:val="18"/>
          <w:szCs w:val="18"/>
          <w:highlight w:val="green"/>
        </w:rPr>
        <w:t>cuadro 1</w:t>
      </w:r>
      <w:r w:rsidR="006E4451" w:rsidRPr="006E4451">
        <w:rPr>
          <w:sz w:val="18"/>
          <w:szCs w:val="18"/>
          <w:highlight w:val="green"/>
        </w:rPr>
        <w:t>8).</w:t>
      </w:r>
    </w:p>
    <w:p w14:paraId="3944BA2D" w14:textId="48A7D97A" w:rsidR="00730950" w:rsidRDefault="00730950" w:rsidP="00F820A2">
      <w:pPr>
        <w:jc w:val="both"/>
      </w:pPr>
    </w:p>
    <w:p w14:paraId="53FE9CC7" w14:textId="58A5B554" w:rsidR="00730950" w:rsidRPr="001E3011" w:rsidRDefault="00730950" w:rsidP="00F820A2">
      <w:pPr>
        <w:jc w:val="both"/>
        <w:rPr>
          <w:b/>
          <w:bCs/>
          <w:u w:val="single"/>
        </w:rPr>
      </w:pPr>
      <w:r w:rsidRPr="006E4451">
        <w:rPr>
          <w:b/>
          <w:bCs/>
          <w:highlight w:val="cyan"/>
          <w:u w:val="single"/>
        </w:rPr>
        <w:t>Valles</w:t>
      </w:r>
      <w:r w:rsidR="00D00E8A">
        <w:rPr>
          <w:b/>
          <w:bCs/>
          <w:u w:val="single"/>
        </w:rPr>
        <w:t xml:space="preserve">  </w:t>
      </w:r>
    </w:p>
    <w:p w14:paraId="23394E8F" w14:textId="1DDBB149" w:rsidR="00730950" w:rsidRDefault="00730950" w:rsidP="00F820A2">
      <w:pPr>
        <w:jc w:val="both"/>
      </w:pPr>
      <w:r>
        <w:t>Las unidades inferiores son:</w:t>
      </w:r>
    </w:p>
    <w:p w14:paraId="441F0AFF" w14:textId="77777777" w:rsidR="0035435C" w:rsidRDefault="00730950" w:rsidP="00F820A2">
      <w:pPr>
        <w:pStyle w:val="Prrafodelista"/>
        <w:numPr>
          <w:ilvl w:val="0"/>
          <w:numId w:val="8"/>
        </w:numPr>
        <w:jc w:val="both"/>
      </w:pPr>
      <w:r w:rsidRPr="001E3011">
        <w:rPr>
          <w:u w:val="single"/>
        </w:rPr>
        <w:t>Complejo de colinas residuales:</w:t>
      </w:r>
      <w:r>
        <w:t xml:space="preserve"> es un concepto similar al explicado para el caso</w:t>
      </w:r>
      <w:r w:rsidR="00C87BA4">
        <w:t xml:space="preserve"> </w:t>
      </w:r>
      <w:r>
        <w:t>de las rampas de piedemontes, es decir, se trata de geoformas similares, pero en tipos</w:t>
      </w:r>
      <w:r w:rsidR="00C87BA4">
        <w:t xml:space="preserve"> </w:t>
      </w:r>
      <w:r>
        <w:t xml:space="preserve">de relieve diferente. Sin embargo, es necesario señalar que en el caso de valles </w:t>
      </w:r>
      <w:proofErr w:type="spellStart"/>
      <w:r>
        <w:t>intramontanos</w:t>
      </w:r>
      <w:proofErr w:type="spellEnd"/>
      <w:r>
        <w:t xml:space="preserve"> no sería raro encontrar complejos de colinas residuales con pendientes</w:t>
      </w:r>
      <w:r w:rsidR="00C87BA4">
        <w:t xml:space="preserve"> </w:t>
      </w:r>
      <w:r>
        <w:t>mayores a 20o. El cuadro 19 ofrece la clasificación morfométrica en distintas escalas.</w:t>
      </w:r>
      <w:r w:rsidR="0035435C">
        <w:t xml:space="preserve"> </w:t>
      </w:r>
      <w:r>
        <w:t>Los complejos de colinas residuales pueden encontrarse, indistintamente, en cualquier parte del valle, o sea al interior de las otras unidades inferiores.</w:t>
      </w:r>
      <w:r w:rsidRPr="00730950">
        <w:rPr>
          <w:noProof/>
        </w:rPr>
        <w:t xml:space="preserve"> </w:t>
      </w:r>
      <w:r w:rsidR="0035435C">
        <w:rPr>
          <w:noProof/>
        </w:rPr>
        <w:t xml:space="preserve"> </w:t>
      </w:r>
    </w:p>
    <w:p w14:paraId="760FFD62" w14:textId="77777777" w:rsidR="0035435C" w:rsidRDefault="00730950" w:rsidP="00F820A2">
      <w:pPr>
        <w:pStyle w:val="Prrafodelista"/>
        <w:numPr>
          <w:ilvl w:val="0"/>
          <w:numId w:val="8"/>
        </w:numPr>
        <w:jc w:val="both"/>
      </w:pPr>
      <w:r>
        <w:t>Complejo de terrazas y barrancos: es un concepto similar al de complejos</w:t>
      </w:r>
      <w:r w:rsidR="00C87BA4">
        <w:t xml:space="preserve"> </w:t>
      </w:r>
      <w:r>
        <w:t xml:space="preserve">de interfluvios y arroyos </w:t>
      </w:r>
      <w:proofErr w:type="spellStart"/>
      <w:r>
        <w:t>distributarios</w:t>
      </w:r>
      <w:proofErr w:type="spellEnd"/>
      <w:r>
        <w:t xml:space="preserve"> de las rampas de piedemontes; pero en</w:t>
      </w:r>
      <w:r w:rsidR="00C87BA4">
        <w:t xml:space="preserve"> </w:t>
      </w:r>
      <w:r>
        <w:t>este caso para referirnos a las pendientes superiores a 3o al interior de un polígono de valle fluvial. De poseer esta inclinación, es casi seguro que se trata de</w:t>
      </w:r>
      <w:r w:rsidR="00C87BA4">
        <w:t xml:space="preserve"> </w:t>
      </w:r>
      <w:r>
        <w:t>un sistema de terrazas, o al menos que la mayor parte de dicho polígono está</w:t>
      </w:r>
      <w:r w:rsidR="00C87BA4">
        <w:t xml:space="preserve"> </w:t>
      </w:r>
      <w:r>
        <w:t>en un complejo de terrazas fluviales.</w:t>
      </w:r>
      <w:r w:rsidR="0035435C">
        <w:t xml:space="preserve"> </w:t>
      </w:r>
    </w:p>
    <w:p w14:paraId="42BE3A86" w14:textId="77777777" w:rsidR="001E3011" w:rsidRDefault="00730950" w:rsidP="00F820A2">
      <w:pPr>
        <w:pStyle w:val="Prrafodelista"/>
        <w:jc w:val="both"/>
      </w:pPr>
      <w:r>
        <w:t>Las mismas pueden ser erosivas o acumulativas, pero en esta propuesta se</w:t>
      </w:r>
      <w:r w:rsidR="00C87BA4">
        <w:t xml:space="preserve"> </w:t>
      </w:r>
      <w:r>
        <w:t>cartografían como complejos no diferenciados. El cuadro 20 expone la subdivisión morfométrica a distintas escalas, con la peculiaridad de que en este</w:t>
      </w:r>
      <w:r w:rsidR="00C87BA4">
        <w:t xml:space="preserve"> </w:t>
      </w:r>
      <w:r>
        <w:t>caso no es raro encontrar terrazas y barrancos con fuerte inclinación, si se</w:t>
      </w:r>
      <w:r w:rsidR="00C87BA4">
        <w:t xml:space="preserve"> </w:t>
      </w:r>
      <w:r>
        <w:t xml:space="preserve">trata de valles fluviales </w:t>
      </w:r>
      <w:proofErr w:type="spellStart"/>
      <w:r>
        <w:t>intramontanos</w:t>
      </w:r>
      <w:proofErr w:type="spellEnd"/>
      <w:r>
        <w:t xml:space="preserve">, </w:t>
      </w:r>
      <w:proofErr w:type="gramStart"/>
      <w:r>
        <w:t>como</w:t>
      </w:r>
      <w:proofErr w:type="gramEnd"/>
      <w:r>
        <w:t xml:space="preserve"> por ejemplo, las barrancas en los</w:t>
      </w:r>
      <w:r w:rsidR="00C87BA4">
        <w:t xml:space="preserve"> </w:t>
      </w:r>
      <w:r>
        <w:t>valles fluviales del centro del estado de Veracruz, que se caracterizan por sus</w:t>
      </w:r>
      <w:r w:rsidR="00C87BA4">
        <w:t xml:space="preserve"> </w:t>
      </w:r>
      <w:r>
        <w:t>paredes verticales (casi 90o) en algunos sectores.</w:t>
      </w:r>
    </w:p>
    <w:p w14:paraId="068E9DBD" w14:textId="164A7D86" w:rsidR="00730950" w:rsidRDefault="00730950" w:rsidP="00F820A2">
      <w:pPr>
        <w:pStyle w:val="Prrafodelista"/>
        <w:numPr>
          <w:ilvl w:val="0"/>
          <w:numId w:val="8"/>
        </w:numPr>
        <w:jc w:val="both"/>
        <w:rPr>
          <w:noProof/>
        </w:rPr>
      </w:pPr>
      <w:r>
        <w:t>Complejo de vegas y cauces: es un concepto similar al de superficies y cauces visto anteriormente. Para el caso particular de los valles fluviales proponemos esta nomenclatura para referirnos a las planicies de inundación aluviales,</w:t>
      </w:r>
      <w:r w:rsidR="00C87BA4">
        <w:t xml:space="preserve"> </w:t>
      </w:r>
      <w:r>
        <w:t>o sea, aquellas unidades susceptibles de presentar inundación periódica durante el tiempo de máximo caudal del sistema fluvial. Se propone el término</w:t>
      </w:r>
      <w:r w:rsidR="00C87BA4">
        <w:t xml:space="preserve"> </w:t>
      </w:r>
      <w:r>
        <w:t>“vega” por ser muy común en México para denotar los planos de inundación</w:t>
      </w:r>
      <w:r w:rsidR="00C87BA4">
        <w:t xml:space="preserve"> </w:t>
      </w:r>
      <w:r>
        <w:t>aluviales. El cuadro 21 ofrece la subdivisión morfométrica para distintas escalas.</w:t>
      </w:r>
      <w:r w:rsidRPr="00730950">
        <w:rPr>
          <w:noProof/>
        </w:rPr>
        <w:t xml:space="preserve"> </w:t>
      </w:r>
    </w:p>
    <w:p w14:paraId="2D541662" w14:textId="77777777" w:rsidR="0035435C" w:rsidRPr="001E3011" w:rsidRDefault="0035435C" w:rsidP="00F820A2">
      <w:pPr>
        <w:jc w:val="both"/>
        <w:rPr>
          <w:b/>
          <w:bCs/>
          <w:noProof/>
          <w:u w:val="single"/>
        </w:rPr>
      </w:pPr>
    </w:p>
    <w:p w14:paraId="22C99B3B" w14:textId="1A0BA300" w:rsidR="00730950" w:rsidRPr="001E3011" w:rsidRDefault="00730950" w:rsidP="00F820A2">
      <w:pPr>
        <w:jc w:val="both"/>
        <w:rPr>
          <w:b/>
          <w:bCs/>
          <w:u w:val="single"/>
        </w:rPr>
      </w:pPr>
      <w:proofErr w:type="spellStart"/>
      <w:r w:rsidRPr="001E3011">
        <w:rPr>
          <w:b/>
          <w:bCs/>
          <w:u w:val="single"/>
        </w:rPr>
        <w:t>Planices</w:t>
      </w:r>
      <w:proofErr w:type="spellEnd"/>
      <w:r w:rsidRPr="001E3011">
        <w:rPr>
          <w:b/>
          <w:bCs/>
          <w:u w:val="single"/>
        </w:rPr>
        <w:t xml:space="preserve"> </w:t>
      </w:r>
      <w:proofErr w:type="spellStart"/>
      <w:r w:rsidRPr="001E3011">
        <w:rPr>
          <w:b/>
          <w:bCs/>
          <w:u w:val="single"/>
        </w:rPr>
        <w:t>acolinadas</w:t>
      </w:r>
      <w:proofErr w:type="spellEnd"/>
      <w:r w:rsidRPr="001E3011">
        <w:rPr>
          <w:b/>
          <w:bCs/>
          <w:u w:val="single"/>
        </w:rPr>
        <w:t xml:space="preserve">, planicies onduladas y planicies </w:t>
      </w:r>
      <w:proofErr w:type="spellStart"/>
      <w:r w:rsidRPr="001E3011">
        <w:rPr>
          <w:b/>
          <w:bCs/>
          <w:u w:val="single"/>
        </w:rPr>
        <w:t>subhorizontales</w:t>
      </w:r>
      <w:proofErr w:type="spellEnd"/>
    </w:p>
    <w:p w14:paraId="33B480CB" w14:textId="73A9697B" w:rsidR="00730950" w:rsidRDefault="00730950" w:rsidP="00F820A2">
      <w:pPr>
        <w:jc w:val="both"/>
      </w:pPr>
      <w:r w:rsidRPr="00730950">
        <w:t>Las unidades inferiores son:</w:t>
      </w:r>
    </w:p>
    <w:p w14:paraId="21B3E753" w14:textId="77777777" w:rsidR="0035435C" w:rsidRDefault="00730950" w:rsidP="00F820A2">
      <w:pPr>
        <w:pStyle w:val="Prrafodelista"/>
        <w:numPr>
          <w:ilvl w:val="0"/>
          <w:numId w:val="9"/>
        </w:numPr>
        <w:jc w:val="both"/>
      </w:pPr>
      <w:r>
        <w:t>Complejo de colinas residuales: es un concepto similar al visto para rampas</w:t>
      </w:r>
      <w:r w:rsidR="00C87BA4">
        <w:t xml:space="preserve"> </w:t>
      </w:r>
      <w:r>
        <w:t>de piedemontes y valles. El cuadro 22 presenta la subdivisión morfométrica</w:t>
      </w:r>
      <w:r w:rsidR="00C87BA4">
        <w:t xml:space="preserve"> </w:t>
      </w:r>
      <w:r>
        <w:t xml:space="preserve">para distintas escalas. Los complejos de colinas residuales serán más frecuentes en las planicies </w:t>
      </w:r>
      <w:proofErr w:type="spellStart"/>
      <w:r>
        <w:t>acolinadas</w:t>
      </w:r>
      <w:proofErr w:type="spellEnd"/>
      <w:r>
        <w:t xml:space="preserve"> (constituyen las colinas que dan nombre a esta</w:t>
      </w:r>
      <w:r w:rsidR="00C87BA4">
        <w:t xml:space="preserve"> </w:t>
      </w:r>
      <w:r>
        <w:t xml:space="preserve">unidad) y menos en las onduladas y </w:t>
      </w:r>
      <w:proofErr w:type="spellStart"/>
      <w:r>
        <w:t>subhorizontales</w:t>
      </w:r>
      <w:proofErr w:type="spellEnd"/>
      <w:r>
        <w:t>. Del mismo modo, la</w:t>
      </w:r>
      <w:r w:rsidR="00C87BA4">
        <w:t xml:space="preserve"> </w:t>
      </w:r>
      <w:r>
        <w:t>inclinación de las pendientes en estas unidades disminuirá gradualmente al</w:t>
      </w:r>
      <w:r w:rsidR="00C87BA4">
        <w:t xml:space="preserve"> </w:t>
      </w:r>
      <w:r>
        <w:t xml:space="preserve">pasar de planicies </w:t>
      </w:r>
      <w:proofErr w:type="spellStart"/>
      <w:r>
        <w:t>acolinadas</w:t>
      </w:r>
      <w:proofErr w:type="spellEnd"/>
      <w:r>
        <w:t xml:space="preserve"> hasta </w:t>
      </w:r>
      <w:proofErr w:type="spellStart"/>
      <w:r>
        <w:t>subhorizontales.</w:t>
      </w:r>
      <w:proofErr w:type="spellEnd"/>
    </w:p>
    <w:p w14:paraId="508DFCE9" w14:textId="77777777" w:rsidR="0035435C" w:rsidRDefault="00730950" w:rsidP="00F820A2">
      <w:pPr>
        <w:pStyle w:val="Prrafodelista"/>
        <w:numPr>
          <w:ilvl w:val="0"/>
          <w:numId w:val="9"/>
        </w:numPr>
        <w:jc w:val="both"/>
      </w:pPr>
      <w:r>
        <w:t>Complejo de superficies y cauces: constituyen la unidad básica al interior</w:t>
      </w:r>
      <w:r w:rsidR="00C87BA4">
        <w:t xml:space="preserve"> </w:t>
      </w:r>
      <w:r>
        <w:t>de las planicies. Es un concepto análogo al visto para rampas de piedemontes, con la peculiaridad de que en este caso se incluyen todas las pendientes</w:t>
      </w:r>
      <w:r w:rsidR="00C87BA4">
        <w:t xml:space="preserve"> </w:t>
      </w:r>
      <w:r>
        <w:t xml:space="preserve">existentes al interior de la planicie. Sin embargo, salvo el caso de las planicies </w:t>
      </w:r>
      <w:proofErr w:type="spellStart"/>
      <w:r>
        <w:t>acolinadas</w:t>
      </w:r>
      <w:proofErr w:type="spellEnd"/>
      <w:r>
        <w:t>, será rara la presencia de inclinaciones superiores a 20o en las superficies existentes al interior de una planicie. No consideramos posible la</w:t>
      </w:r>
      <w:r w:rsidR="00C87BA4">
        <w:t xml:space="preserve"> </w:t>
      </w:r>
      <w:r>
        <w:lastRenderedPageBreak/>
        <w:t xml:space="preserve">presencia de superficies con más de 30o al interior de una planicie, </w:t>
      </w:r>
      <w:proofErr w:type="spellStart"/>
      <w:r>
        <w:t>aún</w:t>
      </w:r>
      <w:proofErr w:type="spellEnd"/>
      <w:r>
        <w:t xml:space="preserve"> siendo</w:t>
      </w:r>
      <w:r w:rsidR="00C87BA4">
        <w:t xml:space="preserve"> </w:t>
      </w:r>
      <w:proofErr w:type="spellStart"/>
      <w:r>
        <w:t>acolinada</w:t>
      </w:r>
      <w:proofErr w:type="spellEnd"/>
      <w:r>
        <w:t>. Sin embargo, predominarán ampliamente las unidades con pendientes inferiores a 5o. El cuadro 23 presenta la subdivisión morfométrica para</w:t>
      </w:r>
      <w:r w:rsidR="00C87BA4">
        <w:t xml:space="preserve"> </w:t>
      </w:r>
      <w:r>
        <w:t>distintas escalas.</w:t>
      </w:r>
      <w:r w:rsidR="0035435C">
        <w:t xml:space="preserve"> </w:t>
      </w:r>
    </w:p>
    <w:p w14:paraId="1E8BF108" w14:textId="77777777" w:rsidR="0035435C" w:rsidRDefault="00730950" w:rsidP="00F820A2">
      <w:pPr>
        <w:pStyle w:val="Prrafodelista"/>
        <w:numPr>
          <w:ilvl w:val="0"/>
          <w:numId w:val="9"/>
        </w:numPr>
        <w:jc w:val="both"/>
      </w:pPr>
      <w:r w:rsidRPr="00730950">
        <w:t>Otras consideraciones sobre las unidades inferiores</w:t>
      </w:r>
      <w:r w:rsidR="00C87BA4">
        <w:t xml:space="preserve"> </w:t>
      </w:r>
      <w:r>
        <w:t>Depresiones: en cualquiera de las unidades superiores podemos encontrar casos de dos curvas cerradas (o más), que poseen valores invertidos de altura</w:t>
      </w:r>
      <w:r w:rsidR="00C87BA4">
        <w:t xml:space="preserve"> </w:t>
      </w:r>
      <w:r>
        <w:t>absoluta, es decir, que en vez de aumentar hacia la última curva el valor de</w:t>
      </w:r>
      <w:r w:rsidR="00C87BA4">
        <w:t xml:space="preserve"> </w:t>
      </w:r>
      <w:r>
        <w:t>metros sobre el nivel del mar, disminuyen. En esos casos estamos en presencia</w:t>
      </w:r>
      <w:r w:rsidR="00C87BA4">
        <w:t xml:space="preserve"> </w:t>
      </w:r>
      <w:r>
        <w:t>de una depresión. Por sus peculiaridades, las depresiones se declaran como</w:t>
      </w:r>
      <w:r w:rsidR="00C87BA4">
        <w:t xml:space="preserve"> </w:t>
      </w:r>
      <w:r>
        <w:t>unidades inferiores aparte de las vistas hasta aquí y se subdividen por su inclinación (como cualquier complejo de superficies y cauces) y por la periodicidad de inundación (en caso de que se inunden).</w:t>
      </w:r>
      <w:r w:rsidR="0035435C">
        <w:t xml:space="preserve"> </w:t>
      </w:r>
    </w:p>
    <w:p w14:paraId="774F14D1" w14:textId="77777777" w:rsidR="0035435C" w:rsidRDefault="00730950" w:rsidP="00F820A2">
      <w:pPr>
        <w:pStyle w:val="Prrafodelista"/>
        <w:numPr>
          <w:ilvl w:val="0"/>
          <w:numId w:val="9"/>
        </w:numPr>
        <w:jc w:val="both"/>
      </w:pPr>
      <w:r>
        <w:t>Periodicidad de inundación: la periodicidad de inundación es un factor de</w:t>
      </w:r>
      <w:r w:rsidR="00C87BA4">
        <w:t xml:space="preserve"> </w:t>
      </w:r>
      <w:r>
        <w:t>diferenciación importante en las unidades inferiores, pero sólo en aquellas</w:t>
      </w:r>
      <w:r w:rsidR="00C87BA4">
        <w:t xml:space="preserve"> </w:t>
      </w:r>
      <w:r>
        <w:t>unidades que posean menos de 3° de inclinación de pendiente para la escala 1:250 000 y menos de 1° de inclinación para la escala 1:50 000. Es decir,</w:t>
      </w:r>
      <w:r w:rsidR="00C87BA4">
        <w:t xml:space="preserve"> </w:t>
      </w:r>
      <w:r>
        <w:t>es necesario diferenciar (hasta donde sea posible), las superficies con distinta</w:t>
      </w:r>
      <w:r w:rsidR="00C87BA4">
        <w:t xml:space="preserve"> </w:t>
      </w:r>
      <w:r>
        <w:t>periodicidad de inundación, porque éste es un factor ecológico muy importante en la superficie terrestre. Existen distintas clasificaciones para evaluar la frecuencia y duración de los periodos de humedad excesiva en el suelo, como</w:t>
      </w:r>
      <w:r w:rsidR="00C87BA4">
        <w:t xml:space="preserve"> </w:t>
      </w:r>
      <w:r>
        <w:t xml:space="preserve">la elaborada por el Departamento de Agricultura de Estados Unidos, explicado en </w:t>
      </w:r>
      <w:proofErr w:type="spellStart"/>
      <w:r>
        <w:t>Siebe</w:t>
      </w:r>
      <w:proofErr w:type="spellEnd"/>
      <w:r>
        <w:t xml:space="preserve"> et al. (1996). El cuadro 24 ofrece la distinción y definición de</w:t>
      </w:r>
      <w:r w:rsidR="00C87BA4">
        <w:t xml:space="preserve"> </w:t>
      </w:r>
      <w:r>
        <w:t>los distintos períodos de inundación. Una superficie se considera “inundada”,</w:t>
      </w:r>
      <w:r w:rsidR="00C87BA4">
        <w:t xml:space="preserve"> </w:t>
      </w:r>
      <w:r>
        <w:t>cuando el suelo está saturado, con independencia de la altura que alcance la</w:t>
      </w:r>
      <w:r w:rsidR="00C87BA4">
        <w:t xml:space="preserve"> </w:t>
      </w:r>
      <w:r>
        <w:t>película de agua sobre el mismo.</w:t>
      </w:r>
      <w:r w:rsidR="0035435C">
        <w:t xml:space="preserve"> </w:t>
      </w:r>
    </w:p>
    <w:p w14:paraId="36929259" w14:textId="77777777" w:rsidR="0035435C" w:rsidRDefault="00730950" w:rsidP="00F820A2">
      <w:pPr>
        <w:pStyle w:val="Prrafodelista"/>
        <w:jc w:val="both"/>
      </w:pPr>
      <w:r>
        <w:t>El cuadro 25 presenta las distintas definiciones según la escala de trabajo,</w:t>
      </w:r>
      <w:r w:rsidR="00C87BA4">
        <w:t xml:space="preserve"> </w:t>
      </w:r>
      <w:r>
        <w:t xml:space="preserve">de acuerdo a nuestra experiencia. La periodicidad de inundación se puede obtener del trabajo de campo mediante monitoreo </w:t>
      </w:r>
      <w:proofErr w:type="spellStart"/>
      <w:r>
        <w:t>hidroecológico</w:t>
      </w:r>
      <w:proofErr w:type="spellEnd"/>
      <w:r>
        <w:t xml:space="preserve"> (a condición</w:t>
      </w:r>
      <w:r w:rsidR="00C87BA4">
        <w:t xml:space="preserve"> </w:t>
      </w:r>
      <w:r>
        <w:t xml:space="preserve">de realizar el mismo en al menos una porción de un período </w:t>
      </w:r>
      <w:proofErr w:type="spellStart"/>
      <w:r>
        <w:t>hiperanual</w:t>
      </w:r>
      <w:proofErr w:type="spellEnd"/>
      <w:r>
        <w:t>, o sea,</w:t>
      </w:r>
      <w:r w:rsidR="00C87BA4">
        <w:t xml:space="preserve"> </w:t>
      </w:r>
      <w:r>
        <w:t>durante al menos dos años), de la consulta con la población local o puede ser</w:t>
      </w:r>
      <w:r w:rsidR="00C87BA4">
        <w:t xml:space="preserve"> </w:t>
      </w:r>
      <w:r>
        <w:t>inferida de la vegetación o los suelos.</w:t>
      </w:r>
    </w:p>
    <w:p w14:paraId="2EA89BD4" w14:textId="77777777" w:rsidR="0035435C" w:rsidRDefault="00730950" w:rsidP="00F820A2">
      <w:pPr>
        <w:pStyle w:val="Prrafodelista"/>
        <w:jc w:val="both"/>
      </w:pPr>
      <w:r>
        <w:t>El cuadro 26 ofrece algunas consideraciones aproximadas sobre la relación</w:t>
      </w:r>
      <w:r w:rsidR="00C87BA4">
        <w:t xml:space="preserve"> </w:t>
      </w:r>
      <w:r>
        <w:t>entre la periodicidad de inundación y algunos tipos de suelos y vegetación.</w:t>
      </w:r>
      <w:r w:rsidR="00C87BA4">
        <w:t xml:space="preserve"> </w:t>
      </w:r>
    </w:p>
    <w:p w14:paraId="7EF6B4A5" w14:textId="088F5332" w:rsidR="00730950" w:rsidRDefault="00730950" w:rsidP="00F820A2">
      <w:pPr>
        <w:pStyle w:val="Prrafodelista"/>
        <w:jc w:val="both"/>
      </w:pPr>
      <w:r>
        <w:t>En todos los casos es necesario definir lo más cercanamente posible la periodicidad de inundación de las unidades.</w:t>
      </w:r>
    </w:p>
    <w:p w14:paraId="7D775364" w14:textId="1EBBB437" w:rsidR="001E3011" w:rsidRDefault="001E3011" w:rsidP="00F820A2">
      <w:pPr>
        <w:pStyle w:val="Prrafodelista"/>
        <w:jc w:val="both"/>
      </w:pPr>
    </w:p>
    <w:p w14:paraId="21FD6D6F" w14:textId="125C11CB" w:rsidR="00F820A2" w:rsidRDefault="00F820A2" w:rsidP="0035435C">
      <w:pPr>
        <w:pStyle w:val="Prrafodelista"/>
      </w:pPr>
    </w:p>
    <w:p w14:paraId="712363BF" w14:textId="75B68FC5" w:rsidR="00F820A2" w:rsidRDefault="00F820A2" w:rsidP="0035435C">
      <w:pPr>
        <w:pStyle w:val="Prrafodelista"/>
      </w:pPr>
    </w:p>
    <w:p w14:paraId="77B65C4B" w14:textId="29FFA075" w:rsidR="00F820A2" w:rsidRDefault="00F820A2" w:rsidP="0035435C">
      <w:pPr>
        <w:pStyle w:val="Prrafodelista"/>
      </w:pPr>
    </w:p>
    <w:p w14:paraId="4EBB820B" w14:textId="77777777" w:rsidR="00F820A2" w:rsidRDefault="00F820A2" w:rsidP="0035435C">
      <w:pPr>
        <w:pStyle w:val="Prrafodelista"/>
      </w:pPr>
    </w:p>
    <w:p w14:paraId="5E24AEF2" w14:textId="487BFD0F" w:rsidR="00577983" w:rsidRPr="00F12ABB" w:rsidRDefault="00F12ABB" w:rsidP="00F12ABB">
      <w:pPr>
        <w:jc w:val="center"/>
        <w:rPr>
          <w:rFonts w:asciiTheme="majorHAnsi" w:hAnsiTheme="majorHAnsi" w:cstheme="majorHAnsi"/>
          <w:b/>
          <w:bCs/>
          <w:noProof/>
          <w:sz w:val="36"/>
          <w:szCs w:val="36"/>
        </w:rPr>
      </w:pPr>
      <w:r w:rsidRPr="00F12ABB">
        <w:rPr>
          <w:rFonts w:asciiTheme="majorHAnsi" w:hAnsiTheme="majorHAnsi" w:cstheme="majorHAnsi"/>
          <w:b/>
          <w:bCs/>
          <w:noProof/>
          <w:sz w:val="36"/>
          <w:szCs w:val="36"/>
        </w:rPr>
        <w:t>ANEXO DE TABLAS</w:t>
      </w:r>
    </w:p>
    <w:p w14:paraId="43A4D6A0" w14:textId="7AA7FEC2" w:rsidR="0035435C" w:rsidRDefault="00577983" w:rsidP="0035435C">
      <w:r>
        <w:rPr>
          <w:noProof/>
        </w:rPr>
        <w:drawing>
          <wp:inline distT="0" distB="0" distL="0" distR="0" wp14:anchorId="1767AE02" wp14:editId="67EF116A">
            <wp:extent cx="1204546" cy="81982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455" t="13693" r="29449" b="29295"/>
                    <a:stretch/>
                  </pic:blipFill>
                  <pic:spPr bwMode="auto">
                    <a:xfrm>
                      <a:off x="0" y="0"/>
                      <a:ext cx="1234726" cy="840365"/>
                    </a:xfrm>
                    <a:prstGeom prst="rect">
                      <a:avLst/>
                    </a:prstGeom>
                    <a:ln>
                      <a:noFill/>
                    </a:ln>
                    <a:extLst>
                      <a:ext uri="{53640926-AAD7-44D8-BBD7-CCE9431645EC}">
                        <a14:shadowObscured xmlns:a14="http://schemas.microsoft.com/office/drawing/2010/main"/>
                      </a:ext>
                    </a:extLst>
                  </pic:spPr>
                </pic:pic>
              </a:graphicData>
            </a:graphic>
          </wp:inline>
        </w:drawing>
      </w:r>
      <w:r w:rsidR="00F12ABB">
        <w:rPr>
          <w:noProof/>
        </w:rPr>
        <w:drawing>
          <wp:inline distT="0" distB="0" distL="0" distR="0" wp14:anchorId="699212A1" wp14:editId="703F53E3">
            <wp:extent cx="1026313" cy="782515"/>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813" t="19426" r="29447" b="17189"/>
                    <a:stretch/>
                  </pic:blipFill>
                  <pic:spPr bwMode="auto">
                    <a:xfrm>
                      <a:off x="0" y="0"/>
                      <a:ext cx="1061035" cy="808989"/>
                    </a:xfrm>
                    <a:prstGeom prst="rect">
                      <a:avLst/>
                    </a:prstGeom>
                    <a:ln>
                      <a:noFill/>
                    </a:ln>
                    <a:extLst>
                      <a:ext uri="{53640926-AAD7-44D8-BBD7-CCE9431645EC}">
                        <a14:shadowObscured xmlns:a14="http://schemas.microsoft.com/office/drawing/2010/main"/>
                      </a:ext>
                    </a:extLst>
                  </pic:spPr>
                </pic:pic>
              </a:graphicData>
            </a:graphic>
          </wp:inline>
        </w:drawing>
      </w:r>
      <w:r w:rsidR="00F12ABB">
        <w:rPr>
          <w:noProof/>
        </w:rPr>
        <w:drawing>
          <wp:inline distT="0" distB="0" distL="0" distR="0" wp14:anchorId="232449EF" wp14:editId="60B3EE7D">
            <wp:extent cx="901593" cy="7825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455" t="19744" r="29087" b="6994"/>
                    <a:stretch/>
                  </pic:blipFill>
                  <pic:spPr bwMode="auto">
                    <a:xfrm>
                      <a:off x="0" y="0"/>
                      <a:ext cx="926174" cy="803850"/>
                    </a:xfrm>
                    <a:prstGeom prst="rect">
                      <a:avLst/>
                    </a:prstGeom>
                    <a:ln>
                      <a:noFill/>
                    </a:ln>
                    <a:extLst>
                      <a:ext uri="{53640926-AAD7-44D8-BBD7-CCE9431645EC}">
                        <a14:shadowObscured xmlns:a14="http://schemas.microsoft.com/office/drawing/2010/main"/>
                      </a:ext>
                    </a:extLst>
                  </pic:spPr>
                </pic:pic>
              </a:graphicData>
            </a:graphic>
          </wp:inline>
        </w:drawing>
      </w:r>
      <w:r w:rsidR="00F12ABB">
        <w:rPr>
          <w:noProof/>
        </w:rPr>
        <w:drawing>
          <wp:inline distT="0" distB="0" distL="0" distR="0" wp14:anchorId="0A282FD4" wp14:editId="293C8B1A">
            <wp:extent cx="967571" cy="791308"/>
            <wp:effectExtent l="0" t="0" r="444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750" t="19489" r="29898" b="13088"/>
                    <a:stretch/>
                  </pic:blipFill>
                  <pic:spPr bwMode="auto">
                    <a:xfrm>
                      <a:off x="0" y="0"/>
                      <a:ext cx="988059" cy="808064"/>
                    </a:xfrm>
                    <a:prstGeom prst="rect">
                      <a:avLst/>
                    </a:prstGeom>
                    <a:ln>
                      <a:noFill/>
                    </a:ln>
                    <a:extLst>
                      <a:ext uri="{53640926-AAD7-44D8-BBD7-CCE9431645EC}">
                        <a14:shadowObscured xmlns:a14="http://schemas.microsoft.com/office/drawing/2010/main"/>
                      </a:ext>
                    </a:extLst>
                  </pic:spPr>
                </pic:pic>
              </a:graphicData>
            </a:graphic>
          </wp:inline>
        </w:drawing>
      </w:r>
      <w:r w:rsidR="003F549D">
        <w:rPr>
          <w:noProof/>
        </w:rPr>
        <w:drawing>
          <wp:inline distT="0" distB="0" distL="0" distR="0" wp14:anchorId="48F00570" wp14:editId="1C67965D">
            <wp:extent cx="1281381" cy="76493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993" t="26113" r="28913" b="23883"/>
                    <a:stretch/>
                  </pic:blipFill>
                  <pic:spPr bwMode="auto">
                    <a:xfrm>
                      <a:off x="0" y="0"/>
                      <a:ext cx="1290700" cy="770494"/>
                    </a:xfrm>
                    <a:prstGeom prst="rect">
                      <a:avLst/>
                    </a:prstGeom>
                    <a:ln>
                      <a:noFill/>
                    </a:ln>
                    <a:extLst>
                      <a:ext uri="{53640926-AAD7-44D8-BBD7-CCE9431645EC}">
                        <a14:shadowObscured xmlns:a14="http://schemas.microsoft.com/office/drawing/2010/main"/>
                      </a:ext>
                    </a:extLst>
                  </pic:spPr>
                </pic:pic>
              </a:graphicData>
            </a:graphic>
          </wp:inline>
        </w:drawing>
      </w:r>
      <w:r w:rsidR="003F549D">
        <w:rPr>
          <w:noProof/>
        </w:rPr>
        <w:drawing>
          <wp:inline distT="0" distB="0" distL="0" distR="0" wp14:anchorId="547E8366" wp14:editId="4F999A17">
            <wp:extent cx="788508" cy="133954"/>
            <wp:effectExtent l="3493"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992" t="22929" r="29635" b="63059"/>
                    <a:stretch/>
                  </pic:blipFill>
                  <pic:spPr bwMode="auto">
                    <a:xfrm rot="16200000">
                      <a:off x="0" y="0"/>
                      <a:ext cx="892259" cy="151579"/>
                    </a:xfrm>
                    <a:prstGeom prst="rect">
                      <a:avLst/>
                    </a:prstGeom>
                    <a:ln>
                      <a:noFill/>
                    </a:ln>
                    <a:extLst>
                      <a:ext uri="{53640926-AAD7-44D8-BBD7-CCE9431645EC}">
                        <a14:shadowObscured xmlns:a14="http://schemas.microsoft.com/office/drawing/2010/main"/>
                      </a:ext>
                    </a:extLst>
                  </pic:spPr>
                </pic:pic>
              </a:graphicData>
            </a:graphic>
          </wp:inline>
        </w:drawing>
      </w:r>
      <w:r w:rsidR="003F549D">
        <w:rPr>
          <w:noProof/>
        </w:rPr>
        <w:drawing>
          <wp:inline distT="0" distB="0" distL="0" distR="0" wp14:anchorId="0E8BAE6A" wp14:editId="5E9D3281">
            <wp:extent cx="901823" cy="7825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993" t="16879" r="29989" b="12100"/>
                    <a:stretch/>
                  </pic:blipFill>
                  <pic:spPr bwMode="auto">
                    <a:xfrm>
                      <a:off x="0" y="0"/>
                      <a:ext cx="925410" cy="802981"/>
                    </a:xfrm>
                    <a:prstGeom prst="rect">
                      <a:avLst/>
                    </a:prstGeom>
                    <a:ln>
                      <a:noFill/>
                    </a:ln>
                    <a:extLst>
                      <a:ext uri="{53640926-AAD7-44D8-BBD7-CCE9431645EC}">
                        <a14:shadowObscured xmlns:a14="http://schemas.microsoft.com/office/drawing/2010/main"/>
                      </a:ext>
                    </a:extLst>
                  </pic:spPr>
                </pic:pic>
              </a:graphicData>
            </a:graphic>
          </wp:inline>
        </w:drawing>
      </w:r>
      <w:r w:rsidR="003F549D">
        <w:rPr>
          <w:noProof/>
        </w:rPr>
        <w:drawing>
          <wp:inline distT="0" distB="0" distL="0" distR="0" wp14:anchorId="010219CF" wp14:editId="300A5C76">
            <wp:extent cx="932776" cy="808892"/>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171" t="15923" r="29984" b="13366"/>
                    <a:stretch/>
                  </pic:blipFill>
                  <pic:spPr bwMode="auto">
                    <a:xfrm>
                      <a:off x="0" y="0"/>
                      <a:ext cx="946572" cy="820856"/>
                    </a:xfrm>
                    <a:prstGeom prst="rect">
                      <a:avLst/>
                    </a:prstGeom>
                    <a:ln>
                      <a:noFill/>
                    </a:ln>
                    <a:extLst>
                      <a:ext uri="{53640926-AAD7-44D8-BBD7-CCE9431645EC}">
                        <a14:shadowObscured xmlns:a14="http://schemas.microsoft.com/office/drawing/2010/main"/>
                      </a:ext>
                    </a:extLst>
                  </pic:spPr>
                </pic:pic>
              </a:graphicData>
            </a:graphic>
          </wp:inline>
        </w:drawing>
      </w:r>
      <w:r w:rsidR="003F549D">
        <w:rPr>
          <w:noProof/>
        </w:rPr>
        <w:drawing>
          <wp:inline distT="0" distB="0" distL="0" distR="0" wp14:anchorId="72E6B4E0" wp14:editId="27D1A55D">
            <wp:extent cx="967153" cy="778990"/>
            <wp:effectExtent l="0" t="0" r="4445"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813" t="13057" r="30169" b="21018"/>
                    <a:stretch/>
                  </pic:blipFill>
                  <pic:spPr bwMode="auto">
                    <a:xfrm>
                      <a:off x="0" y="0"/>
                      <a:ext cx="989332" cy="796854"/>
                    </a:xfrm>
                    <a:prstGeom prst="rect">
                      <a:avLst/>
                    </a:prstGeom>
                    <a:ln>
                      <a:noFill/>
                    </a:ln>
                    <a:extLst>
                      <a:ext uri="{53640926-AAD7-44D8-BBD7-CCE9431645EC}">
                        <a14:shadowObscured xmlns:a14="http://schemas.microsoft.com/office/drawing/2010/main"/>
                      </a:ext>
                    </a:extLst>
                  </pic:spPr>
                </pic:pic>
              </a:graphicData>
            </a:graphic>
          </wp:inline>
        </w:drawing>
      </w:r>
      <w:r w:rsidR="00D55BBE">
        <w:rPr>
          <w:noProof/>
        </w:rPr>
        <w:drawing>
          <wp:inline distT="0" distB="0" distL="0" distR="0" wp14:anchorId="22D4AE05" wp14:editId="51CA0E92">
            <wp:extent cx="805048" cy="773724"/>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993" t="17197" r="29987" b="4135"/>
                    <a:stretch/>
                  </pic:blipFill>
                  <pic:spPr bwMode="auto">
                    <a:xfrm>
                      <a:off x="0" y="0"/>
                      <a:ext cx="823310" cy="791276"/>
                    </a:xfrm>
                    <a:prstGeom prst="rect">
                      <a:avLst/>
                    </a:prstGeom>
                    <a:ln>
                      <a:noFill/>
                    </a:ln>
                    <a:extLst>
                      <a:ext uri="{53640926-AAD7-44D8-BBD7-CCE9431645EC}">
                        <a14:shadowObscured xmlns:a14="http://schemas.microsoft.com/office/drawing/2010/main"/>
                      </a:ext>
                    </a:extLst>
                  </pic:spPr>
                </pic:pic>
              </a:graphicData>
            </a:graphic>
          </wp:inline>
        </w:drawing>
      </w:r>
      <w:r w:rsidR="00D55BBE">
        <w:rPr>
          <w:noProof/>
        </w:rPr>
        <w:drawing>
          <wp:inline distT="0" distB="0" distL="0" distR="0" wp14:anchorId="1DBEB113" wp14:editId="524B1F9B">
            <wp:extent cx="931984" cy="80294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634" t="14649" r="29812" b="14014"/>
                    <a:stretch/>
                  </pic:blipFill>
                  <pic:spPr bwMode="auto">
                    <a:xfrm>
                      <a:off x="0" y="0"/>
                      <a:ext cx="943618" cy="812964"/>
                    </a:xfrm>
                    <a:prstGeom prst="rect">
                      <a:avLst/>
                    </a:prstGeom>
                    <a:ln>
                      <a:noFill/>
                    </a:ln>
                    <a:extLst>
                      <a:ext uri="{53640926-AAD7-44D8-BBD7-CCE9431645EC}">
                        <a14:shadowObscured xmlns:a14="http://schemas.microsoft.com/office/drawing/2010/main"/>
                      </a:ext>
                    </a:extLst>
                  </pic:spPr>
                </pic:pic>
              </a:graphicData>
            </a:graphic>
          </wp:inline>
        </w:drawing>
      </w:r>
      <w:r w:rsidR="00D55BBE">
        <w:rPr>
          <w:noProof/>
        </w:rPr>
        <w:drawing>
          <wp:inline distT="0" distB="0" distL="0" distR="0" wp14:anchorId="1F6BB4BF" wp14:editId="21BC29F5">
            <wp:extent cx="896816" cy="76920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350" t="18152" r="30345" b="12733"/>
                    <a:stretch/>
                  </pic:blipFill>
                  <pic:spPr bwMode="auto">
                    <a:xfrm>
                      <a:off x="0" y="0"/>
                      <a:ext cx="906119" cy="777185"/>
                    </a:xfrm>
                    <a:prstGeom prst="rect">
                      <a:avLst/>
                    </a:prstGeom>
                    <a:ln>
                      <a:noFill/>
                    </a:ln>
                    <a:extLst>
                      <a:ext uri="{53640926-AAD7-44D8-BBD7-CCE9431645EC}">
                        <a14:shadowObscured xmlns:a14="http://schemas.microsoft.com/office/drawing/2010/main"/>
                      </a:ext>
                    </a:extLst>
                  </pic:spPr>
                </pic:pic>
              </a:graphicData>
            </a:graphic>
          </wp:inline>
        </w:drawing>
      </w:r>
      <w:r w:rsidR="00D55BBE">
        <w:rPr>
          <w:noProof/>
        </w:rPr>
        <w:drawing>
          <wp:inline distT="0" distB="0" distL="0" distR="0" wp14:anchorId="1A5A8539" wp14:editId="3E701A18">
            <wp:extent cx="855550" cy="720969"/>
            <wp:effectExtent l="0" t="0" r="190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634" t="15604" r="28554" b="12732"/>
                    <a:stretch/>
                  </pic:blipFill>
                  <pic:spPr bwMode="auto">
                    <a:xfrm>
                      <a:off x="0" y="0"/>
                      <a:ext cx="863876" cy="727985"/>
                    </a:xfrm>
                    <a:prstGeom prst="rect">
                      <a:avLst/>
                    </a:prstGeom>
                    <a:ln>
                      <a:noFill/>
                    </a:ln>
                    <a:extLst>
                      <a:ext uri="{53640926-AAD7-44D8-BBD7-CCE9431645EC}">
                        <a14:shadowObscured xmlns:a14="http://schemas.microsoft.com/office/drawing/2010/main"/>
                      </a:ext>
                    </a:extLst>
                  </pic:spPr>
                </pic:pic>
              </a:graphicData>
            </a:graphic>
          </wp:inline>
        </w:drawing>
      </w:r>
      <w:r w:rsidR="00D55BBE">
        <w:rPr>
          <w:noProof/>
        </w:rPr>
        <w:drawing>
          <wp:inline distT="0" distB="0" distL="0" distR="0" wp14:anchorId="7994668E" wp14:editId="53315EF9">
            <wp:extent cx="791308" cy="794633"/>
            <wp:effectExtent l="0" t="0" r="889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918" t="19107" r="34463" b="4770"/>
                    <a:stretch/>
                  </pic:blipFill>
                  <pic:spPr bwMode="auto">
                    <a:xfrm>
                      <a:off x="0" y="0"/>
                      <a:ext cx="803096" cy="806471"/>
                    </a:xfrm>
                    <a:prstGeom prst="rect">
                      <a:avLst/>
                    </a:prstGeom>
                    <a:ln>
                      <a:noFill/>
                    </a:ln>
                    <a:extLst>
                      <a:ext uri="{53640926-AAD7-44D8-BBD7-CCE9431645EC}">
                        <a14:shadowObscured xmlns:a14="http://schemas.microsoft.com/office/drawing/2010/main"/>
                      </a:ext>
                    </a:extLst>
                  </pic:spPr>
                </pic:pic>
              </a:graphicData>
            </a:graphic>
          </wp:inline>
        </w:drawing>
      </w:r>
      <w:r w:rsidR="00D55BBE">
        <w:rPr>
          <w:noProof/>
        </w:rPr>
        <w:drawing>
          <wp:inline distT="0" distB="0" distL="0" distR="0" wp14:anchorId="2974354E" wp14:editId="5696A1F5">
            <wp:extent cx="793907" cy="773723"/>
            <wp:effectExtent l="0" t="0" r="635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813" t="12739" r="33929" b="14012"/>
                    <a:stretch/>
                  </pic:blipFill>
                  <pic:spPr bwMode="auto">
                    <a:xfrm>
                      <a:off x="0" y="0"/>
                      <a:ext cx="810036" cy="789442"/>
                    </a:xfrm>
                    <a:prstGeom prst="rect">
                      <a:avLst/>
                    </a:prstGeom>
                    <a:ln>
                      <a:noFill/>
                    </a:ln>
                    <a:extLst>
                      <a:ext uri="{53640926-AAD7-44D8-BBD7-CCE9431645EC}">
                        <a14:shadowObscured xmlns:a14="http://schemas.microsoft.com/office/drawing/2010/main"/>
                      </a:ext>
                    </a:extLst>
                  </pic:spPr>
                </pic:pic>
              </a:graphicData>
            </a:graphic>
          </wp:inline>
        </w:drawing>
      </w:r>
      <w:r w:rsidR="00D55BBE">
        <w:rPr>
          <w:noProof/>
        </w:rPr>
        <w:drawing>
          <wp:inline distT="0" distB="0" distL="0" distR="0" wp14:anchorId="77180EB4" wp14:editId="70441D42">
            <wp:extent cx="883409" cy="756138"/>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634" t="14013" r="34104" b="21648"/>
                    <a:stretch/>
                  </pic:blipFill>
                  <pic:spPr bwMode="auto">
                    <a:xfrm>
                      <a:off x="0" y="0"/>
                      <a:ext cx="894867" cy="765945"/>
                    </a:xfrm>
                    <a:prstGeom prst="rect">
                      <a:avLst/>
                    </a:prstGeom>
                    <a:ln>
                      <a:noFill/>
                    </a:ln>
                    <a:extLst>
                      <a:ext uri="{53640926-AAD7-44D8-BBD7-CCE9431645EC}">
                        <a14:shadowObscured xmlns:a14="http://schemas.microsoft.com/office/drawing/2010/main"/>
                      </a:ext>
                    </a:extLst>
                  </pic:spPr>
                </pic:pic>
              </a:graphicData>
            </a:graphic>
          </wp:inline>
        </w:drawing>
      </w:r>
      <w:r w:rsidR="00D55BBE">
        <w:rPr>
          <w:noProof/>
        </w:rPr>
        <w:drawing>
          <wp:inline distT="0" distB="0" distL="0" distR="0" wp14:anchorId="2DEFEBF6" wp14:editId="6D5626A4">
            <wp:extent cx="1009600" cy="791308"/>
            <wp:effectExtent l="0" t="0" r="635"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813" t="22291" r="29810" b="13056"/>
                    <a:stretch/>
                  </pic:blipFill>
                  <pic:spPr bwMode="auto">
                    <a:xfrm>
                      <a:off x="0" y="0"/>
                      <a:ext cx="1023446" cy="802160"/>
                    </a:xfrm>
                    <a:prstGeom prst="rect">
                      <a:avLst/>
                    </a:prstGeom>
                    <a:ln>
                      <a:noFill/>
                    </a:ln>
                    <a:extLst>
                      <a:ext uri="{53640926-AAD7-44D8-BBD7-CCE9431645EC}">
                        <a14:shadowObscured xmlns:a14="http://schemas.microsoft.com/office/drawing/2010/main"/>
                      </a:ext>
                    </a:extLst>
                  </pic:spPr>
                </pic:pic>
              </a:graphicData>
            </a:graphic>
          </wp:inline>
        </w:drawing>
      </w:r>
      <w:r w:rsidR="00D55BBE">
        <w:rPr>
          <w:noProof/>
        </w:rPr>
        <w:drawing>
          <wp:inline distT="0" distB="0" distL="0" distR="0" wp14:anchorId="61BCFCFD" wp14:editId="0D58128F">
            <wp:extent cx="881766" cy="773723"/>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813" t="15923" r="30880" b="13366"/>
                    <a:stretch/>
                  </pic:blipFill>
                  <pic:spPr bwMode="auto">
                    <a:xfrm>
                      <a:off x="0" y="0"/>
                      <a:ext cx="891834" cy="782558"/>
                    </a:xfrm>
                    <a:prstGeom prst="rect">
                      <a:avLst/>
                    </a:prstGeom>
                    <a:ln>
                      <a:noFill/>
                    </a:ln>
                    <a:extLst>
                      <a:ext uri="{53640926-AAD7-44D8-BBD7-CCE9431645EC}">
                        <a14:shadowObscured xmlns:a14="http://schemas.microsoft.com/office/drawing/2010/main"/>
                      </a:ext>
                    </a:extLst>
                  </pic:spPr>
                </pic:pic>
              </a:graphicData>
            </a:graphic>
          </wp:inline>
        </w:drawing>
      </w:r>
      <w:r w:rsidR="00B06BB8">
        <w:rPr>
          <w:noProof/>
        </w:rPr>
        <w:drawing>
          <wp:inline distT="0" distB="0" distL="0" distR="0" wp14:anchorId="0EB9680C" wp14:editId="7DB1B155">
            <wp:extent cx="984120" cy="756138"/>
            <wp:effectExtent l="0" t="0" r="6985"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455" t="21018" r="30164" b="15599"/>
                    <a:stretch/>
                  </pic:blipFill>
                  <pic:spPr bwMode="auto">
                    <a:xfrm>
                      <a:off x="0" y="0"/>
                      <a:ext cx="993109" cy="763044"/>
                    </a:xfrm>
                    <a:prstGeom prst="rect">
                      <a:avLst/>
                    </a:prstGeom>
                    <a:ln>
                      <a:noFill/>
                    </a:ln>
                    <a:extLst>
                      <a:ext uri="{53640926-AAD7-44D8-BBD7-CCE9431645EC}">
                        <a14:shadowObscured xmlns:a14="http://schemas.microsoft.com/office/drawing/2010/main"/>
                      </a:ext>
                    </a:extLst>
                  </pic:spPr>
                </pic:pic>
              </a:graphicData>
            </a:graphic>
          </wp:inline>
        </w:drawing>
      </w:r>
      <w:r w:rsidR="00B06BB8">
        <w:rPr>
          <w:noProof/>
        </w:rPr>
        <w:drawing>
          <wp:inline distT="0" distB="0" distL="0" distR="0" wp14:anchorId="36ED2E40" wp14:editId="59151ACA">
            <wp:extent cx="926904" cy="712177"/>
            <wp:effectExtent l="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455" t="21018" r="30164" b="15599"/>
                    <a:stretch/>
                  </pic:blipFill>
                  <pic:spPr bwMode="auto">
                    <a:xfrm>
                      <a:off x="0" y="0"/>
                      <a:ext cx="935830" cy="719035"/>
                    </a:xfrm>
                    <a:prstGeom prst="rect">
                      <a:avLst/>
                    </a:prstGeom>
                    <a:ln>
                      <a:noFill/>
                    </a:ln>
                    <a:extLst>
                      <a:ext uri="{53640926-AAD7-44D8-BBD7-CCE9431645EC}">
                        <a14:shadowObscured xmlns:a14="http://schemas.microsoft.com/office/drawing/2010/main"/>
                      </a:ext>
                    </a:extLst>
                  </pic:spPr>
                </pic:pic>
              </a:graphicData>
            </a:graphic>
          </wp:inline>
        </w:drawing>
      </w:r>
      <w:r w:rsidR="00B06BB8">
        <w:rPr>
          <w:noProof/>
        </w:rPr>
        <w:drawing>
          <wp:inline distT="0" distB="0" distL="0" distR="0" wp14:anchorId="7D940548" wp14:editId="20F57B96">
            <wp:extent cx="967154" cy="758844"/>
            <wp:effectExtent l="0" t="0" r="4445"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634" t="21018" r="29807" b="14006"/>
                    <a:stretch/>
                  </pic:blipFill>
                  <pic:spPr bwMode="auto">
                    <a:xfrm>
                      <a:off x="0" y="0"/>
                      <a:ext cx="978798" cy="767980"/>
                    </a:xfrm>
                    <a:prstGeom prst="rect">
                      <a:avLst/>
                    </a:prstGeom>
                    <a:ln>
                      <a:noFill/>
                    </a:ln>
                    <a:extLst>
                      <a:ext uri="{53640926-AAD7-44D8-BBD7-CCE9431645EC}">
                        <a14:shadowObscured xmlns:a14="http://schemas.microsoft.com/office/drawing/2010/main"/>
                      </a:ext>
                    </a:extLst>
                  </pic:spPr>
                </pic:pic>
              </a:graphicData>
            </a:graphic>
          </wp:inline>
        </w:drawing>
      </w:r>
      <w:r w:rsidR="00B06BB8">
        <w:rPr>
          <w:noProof/>
        </w:rPr>
        <w:lastRenderedPageBreak/>
        <w:drawing>
          <wp:inline distT="0" distB="0" distL="0" distR="0" wp14:anchorId="1581974F" wp14:editId="39EAEDC5">
            <wp:extent cx="958362" cy="685065"/>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919" t="10827" r="29982" b="29289"/>
                    <a:stretch/>
                  </pic:blipFill>
                  <pic:spPr bwMode="auto">
                    <a:xfrm>
                      <a:off x="0" y="0"/>
                      <a:ext cx="964127" cy="689186"/>
                    </a:xfrm>
                    <a:prstGeom prst="rect">
                      <a:avLst/>
                    </a:prstGeom>
                    <a:ln>
                      <a:noFill/>
                    </a:ln>
                    <a:extLst>
                      <a:ext uri="{53640926-AAD7-44D8-BBD7-CCE9431645EC}">
                        <a14:shadowObscured xmlns:a14="http://schemas.microsoft.com/office/drawing/2010/main"/>
                      </a:ext>
                    </a:extLst>
                  </pic:spPr>
                </pic:pic>
              </a:graphicData>
            </a:graphic>
          </wp:inline>
        </w:drawing>
      </w:r>
      <w:r w:rsidR="00B06BB8">
        <w:rPr>
          <w:noProof/>
        </w:rPr>
        <w:drawing>
          <wp:inline distT="0" distB="0" distL="0" distR="0" wp14:anchorId="50DC53B3" wp14:editId="705A2103">
            <wp:extent cx="887791" cy="716524"/>
            <wp:effectExtent l="0" t="0" r="762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709" t="20063" r="29812" b="14651"/>
                    <a:stretch/>
                  </pic:blipFill>
                  <pic:spPr bwMode="auto">
                    <a:xfrm>
                      <a:off x="0" y="0"/>
                      <a:ext cx="904437" cy="729959"/>
                    </a:xfrm>
                    <a:prstGeom prst="rect">
                      <a:avLst/>
                    </a:prstGeom>
                    <a:ln>
                      <a:noFill/>
                    </a:ln>
                    <a:extLst>
                      <a:ext uri="{53640926-AAD7-44D8-BBD7-CCE9431645EC}">
                        <a14:shadowObscured xmlns:a14="http://schemas.microsoft.com/office/drawing/2010/main"/>
                      </a:ext>
                    </a:extLst>
                  </pic:spPr>
                </pic:pic>
              </a:graphicData>
            </a:graphic>
          </wp:inline>
        </w:drawing>
      </w:r>
      <w:r w:rsidR="00B06BB8">
        <w:rPr>
          <w:noProof/>
        </w:rPr>
        <w:drawing>
          <wp:inline distT="0" distB="0" distL="0" distR="0" wp14:anchorId="6EF3A25D" wp14:editId="285EFF90">
            <wp:extent cx="940959" cy="71217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3993" t="18789" r="30347" b="19743"/>
                    <a:stretch/>
                  </pic:blipFill>
                  <pic:spPr bwMode="auto">
                    <a:xfrm>
                      <a:off x="0" y="0"/>
                      <a:ext cx="950394" cy="719318"/>
                    </a:xfrm>
                    <a:prstGeom prst="rect">
                      <a:avLst/>
                    </a:prstGeom>
                    <a:ln>
                      <a:noFill/>
                    </a:ln>
                    <a:extLst>
                      <a:ext uri="{53640926-AAD7-44D8-BBD7-CCE9431645EC}">
                        <a14:shadowObscured xmlns:a14="http://schemas.microsoft.com/office/drawing/2010/main"/>
                      </a:ext>
                    </a:extLst>
                  </pic:spPr>
                </pic:pic>
              </a:graphicData>
            </a:graphic>
          </wp:inline>
        </w:drawing>
      </w:r>
      <w:r w:rsidR="00B06BB8">
        <w:rPr>
          <w:noProof/>
        </w:rPr>
        <w:drawing>
          <wp:inline distT="0" distB="0" distL="0" distR="0" wp14:anchorId="6DD46C04" wp14:editId="193DD9F7">
            <wp:extent cx="1617784" cy="739916"/>
            <wp:effectExtent l="0" t="0" r="1905"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4171" t="36304" r="29629" b="26113"/>
                    <a:stretch/>
                  </pic:blipFill>
                  <pic:spPr bwMode="auto">
                    <a:xfrm>
                      <a:off x="0" y="0"/>
                      <a:ext cx="1626363" cy="743840"/>
                    </a:xfrm>
                    <a:prstGeom prst="rect">
                      <a:avLst/>
                    </a:prstGeom>
                    <a:ln>
                      <a:noFill/>
                    </a:ln>
                    <a:extLst>
                      <a:ext uri="{53640926-AAD7-44D8-BBD7-CCE9431645EC}">
                        <a14:shadowObscured xmlns:a14="http://schemas.microsoft.com/office/drawing/2010/main"/>
                      </a:ext>
                    </a:extLst>
                  </pic:spPr>
                </pic:pic>
              </a:graphicData>
            </a:graphic>
          </wp:inline>
        </w:drawing>
      </w:r>
      <w:r w:rsidR="00B06BB8">
        <w:rPr>
          <w:noProof/>
        </w:rPr>
        <w:drawing>
          <wp:inline distT="0" distB="0" distL="0" distR="0" wp14:anchorId="706748D8" wp14:editId="51F5BDD5">
            <wp:extent cx="1485900" cy="452473"/>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634" t="37259" r="28731" b="36940"/>
                    <a:stretch/>
                  </pic:blipFill>
                  <pic:spPr bwMode="auto">
                    <a:xfrm>
                      <a:off x="0" y="0"/>
                      <a:ext cx="1510565" cy="459984"/>
                    </a:xfrm>
                    <a:prstGeom prst="rect">
                      <a:avLst/>
                    </a:prstGeom>
                    <a:ln>
                      <a:noFill/>
                    </a:ln>
                    <a:extLst>
                      <a:ext uri="{53640926-AAD7-44D8-BBD7-CCE9431645EC}">
                        <a14:shadowObscured xmlns:a14="http://schemas.microsoft.com/office/drawing/2010/main"/>
                      </a:ext>
                    </a:extLst>
                  </pic:spPr>
                </pic:pic>
              </a:graphicData>
            </a:graphic>
          </wp:inline>
        </w:drawing>
      </w:r>
      <w:r w:rsidR="0035435C">
        <w:rPr>
          <w:noProof/>
        </w:rPr>
        <w:drawing>
          <wp:inline distT="0" distB="0" distL="0" distR="0" wp14:anchorId="72E7784B" wp14:editId="319D4D37">
            <wp:extent cx="1116330" cy="573251"/>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3993" t="40126" r="29630" b="17516"/>
                    <a:stretch/>
                  </pic:blipFill>
                  <pic:spPr bwMode="auto">
                    <a:xfrm>
                      <a:off x="0" y="0"/>
                      <a:ext cx="1133103" cy="581864"/>
                    </a:xfrm>
                    <a:prstGeom prst="rect">
                      <a:avLst/>
                    </a:prstGeom>
                    <a:ln>
                      <a:noFill/>
                    </a:ln>
                    <a:extLst>
                      <a:ext uri="{53640926-AAD7-44D8-BBD7-CCE9431645EC}">
                        <a14:shadowObscured xmlns:a14="http://schemas.microsoft.com/office/drawing/2010/main"/>
                      </a:ext>
                    </a:extLst>
                  </pic:spPr>
                </pic:pic>
              </a:graphicData>
            </a:graphic>
          </wp:inline>
        </w:drawing>
      </w:r>
      <w:r w:rsidR="0035435C">
        <w:rPr>
          <w:noProof/>
        </w:rPr>
        <w:drawing>
          <wp:inline distT="0" distB="0" distL="0" distR="0" wp14:anchorId="3C04EB69" wp14:editId="0CA9EA4E">
            <wp:extent cx="1354016" cy="59720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3634" t="36623" r="29273" b="26433"/>
                    <a:stretch/>
                  </pic:blipFill>
                  <pic:spPr bwMode="auto">
                    <a:xfrm>
                      <a:off x="0" y="0"/>
                      <a:ext cx="1375126" cy="606520"/>
                    </a:xfrm>
                    <a:prstGeom prst="rect">
                      <a:avLst/>
                    </a:prstGeom>
                    <a:ln>
                      <a:noFill/>
                    </a:ln>
                    <a:extLst>
                      <a:ext uri="{53640926-AAD7-44D8-BBD7-CCE9431645EC}">
                        <a14:shadowObscured xmlns:a14="http://schemas.microsoft.com/office/drawing/2010/main"/>
                      </a:ext>
                    </a:extLst>
                  </pic:spPr>
                </pic:pic>
              </a:graphicData>
            </a:graphic>
          </wp:inline>
        </w:drawing>
      </w:r>
      <w:r w:rsidR="0035435C">
        <w:rPr>
          <w:noProof/>
        </w:rPr>
        <w:drawing>
          <wp:inline distT="0" distB="0" distL="0" distR="0" wp14:anchorId="14FEE183" wp14:editId="5752A994">
            <wp:extent cx="1494692" cy="60018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3813" t="38533" r="29810" b="28344"/>
                    <a:stretch/>
                  </pic:blipFill>
                  <pic:spPr bwMode="auto">
                    <a:xfrm>
                      <a:off x="0" y="0"/>
                      <a:ext cx="1511747" cy="607034"/>
                    </a:xfrm>
                    <a:prstGeom prst="rect">
                      <a:avLst/>
                    </a:prstGeom>
                    <a:ln>
                      <a:noFill/>
                    </a:ln>
                    <a:extLst>
                      <a:ext uri="{53640926-AAD7-44D8-BBD7-CCE9431645EC}">
                        <a14:shadowObscured xmlns:a14="http://schemas.microsoft.com/office/drawing/2010/main"/>
                      </a:ext>
                    </a:extLst>
                  </pic:spPr>
                </pic:pic>
              </a:graphicData>
            </a:graphic>
          </wp:inline>
        </w:drawing>
      </w:r>
      <w:r w:rsidR="0035435C">
        <w:rPr>
          <w:noProof/>
        </w:rPr>
        <w:drawing>
          <wp:inline distT="0" distB="0" distL="0" distR="0" wp14:anchorId="359D26E6" wp14:editId="4285B360">
            <wp:extent cx="1164541" cy="59787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3276" t="36623" r="29637" b="20380"/>
                    <a:stretch/>
                  </pic:blipFill>
                  <pic:spPr bwMode="auto">
                    <a:xfrm>
                      <a:off x="0" y="0"/>
                      <a:ext cx="1174890" cy="603190"/>
                    </a:xfrm>
                    <a:prstGeom prst="rect">
                      <a:avLst/>
                    </a:prstGeom>
                    <a:ln>
                      <a:noFill/>
                    </a:ln>
                    <a:extLst>
                      <a:ext uri="{53640926-AAD7-44D8-BBD7-CCE9431645EC}">
                        <a14:shadowObscured xmlns:a14="http://schemas.microsoft.com/office/drawing/2010/main"/>
                      </a:ext>
                    </a:extLst>
                  </pic:spPr>
                </pic:pic>
              </a:graphicData>
            </a:graphic>
          </wp:inline>
        </w:drawing>
      </w:r>
      <w:r w:rsidR="0035435C">
        <w:rPr>
          <w:noProof/>
        </w:rPr>
        <w:drawing>
          <wp:inline distT="0" distB="0" distL="0" distR="0" wp14:anchorId="77CF85A0" wp14:editId="5CB93ABB">
            <wp:extent cx="1257300" cy="61414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3813" t="30891" r="29632" b="28663"/>
                    <a:stretch/>
                  </pic:blipFill>
                  <pic:spPr bwMode="auto">
                    <a:xfrm>
                      <a:off x="0" y="0"/>
                      <a:ext cx="1275679" cy="623120"/>
                    </a:xfrm>
                    <a:prstGeom prst="rect">
                      <a:avLst/>
                    </a:prstGeom>
                    <a:ln>
                      <a:noFill/>
                    </a:ln>
                    <a:extLst>
                      <a:ext uri="{53640926-AAD7-44D8-BBD7-CCE9431645EC}">
                        <a14:shadowObscured xmlns:a14="http://schemas.microsoft.com/office/drawing/2010/main"/>
                      </a:ext>
                    </a:extLst>
                  </pic:spPr>
                </pic:pic>
              </a:graphicData>
            </a:graphic>
          </wp:inline>
        </w:drawing>
      </w:r>
    </w:p>
    <w:p w14:paraId="25CA981C" w14:textId="77777777" w:rsidR="0035435C" w:rsidRDefault="0035435C" w:rsidP="0035435C">
      <w:pPr>
        <w:rPr>
          <w:noProof/>
        </w:rPr>
      </w:pPr>
      <w:r>
        <w:rPr>
          <w:noProof/>
        </w:rPr>
        <w:drawing>
          <wp:inline distT="0" distB="0" distL="0" distR="0" wp14:anchorId="1C7B6DD8" wp14:editId="2DE410BB">
            <wp:extent cx="1055077" cy="66995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3455" t="27069" r="29443" b="19735"/>
                    <a:stretch/>
                  </pic:blipFill>
                  <pic:spPr bwMode="auto">
                    <a:xfrm>
                      <a:off x="0" y="0"/>
                      <a:ext cx="1072038" cy="680724"/>
                    </a:xfrm>
                    <a:prstGeom prst="rect">
                      <a:avLst/>
                    </a:prstGeom>
                    <a:ln>
                      <a:noFill/>
                    </a:ln>
                    <a:extLst>
                      <a:ext uri="{53640926-AAD7-44D8-BBD7-CCE9431645EC}">
                        <a14:shadowObscured xmlns:a14="http://schemas.microsoft.com/office/drawing/2010/main"/>
                      </a:ext>
                    </a:extLst>
                  </pic:spPr>
                </pic:pic>
              </a:graphicData>
            </a:graphic>
          </wp:inline>
        </w:drawing>
      </w:r>
      <w:r w:rsidRPr="002161A1">
        <w:rPr>
          <w:noProof/>
        </w:rPr>
        <w:t xml:space="preserve"> </w:t>
      </w:r>
      <w:r>
        <w:rPr>
          <w:noProof/>
        </w:rPr>
        <w:drawing>
          <wp:inline distT="0" distB="0" distL="0" distR="0" wp14:anchorId="7D54D69B" wp14:editId="708E847F">
            <wp:extent cx="747854" cy="61503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3455" t="15605" r="30165" b="16554"/>
                    <a:stretch/>
                  </pic:blipFill>
                  <pic:spPr bwMode="auto">
                    <a:xfrm>
                      <a:off x="0" y="0"/>
                      <a:ext cx="757520" cy="622980"/>
                    </a:xfrm>
                    <a:prstGeom prst="rect">
                      <a:avLst/>
                    </a:prstGeom>
                    <a:ln>
                      <a:noFill/>
                    </a:ln>
                    <a:extLst>
                      <a:ext uri="{53640926-AAD7-44D8-BBD7-CCE9431645EC}">
                        <a14:shadowObscured xmlns:a14="http://schemas.microsoft.com/office/drawing/2010/main"/>
                      </a:ext>
                    </a:extLst>
                  </pic:spPr>
                </pic:pic>
              </a:graphicData>
            </a:graphic>
          </wp:inline>
        </w:drawing>
      </w:r>
      <w:r w:rsidRPr="002161A1">
        <w:rPr>
          <w:noProof/>
        </w:rPr>
        <w:t xml:space="preserve"> </w:t>
      </w:r>
      <w:r>
        <w:rPr>
          <w:noProof/>
        </w:rPr>
        <w:drawing>
          <wp:inline distT="0" distB="0" distL="0" distR="0" wp14:anchorId="092C8609" wp14:editId="45388FCE">
            <wp:extent cx="872601" cy="650240"/>
            <wp:effectExtent l="0" t="0" r="381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3276" t="13693" r="30344" b="24836"/>
                    <a:stretch/>
                  </pic:blipFill>
                  <pic:spPr bwMode="auto">
                    <a:xfrm>
                      <a:off x="0" y="0"/>
                      <a:ext cx="889560" cy="662878"/>
                    </a:xfrm>
                    <a:prstGeom prst="rect">
                      <a:avLst/>
                    </a:prstGeom>
                    <a:ln>
                      <a:noFill/>
                    </a:ln>
                    <a:extLst>
                      <a:ext uri="{53640926-AAD7-44D8-BBD7-CCE9431645EC}">
                        <a14:shadowObscured xmlns:a14="http://schemas.microsoft.com/office/drawing/2010/main"/>
                      </a:ext>
                    </a:extLst>
                  </pic:spPr>
                </pic:pic>
              </a:graphicData>
            </a:graphic>
          </wp:inline>
        </w:drawing>
      </w:r>
    </w:p>
    <w:p w14:paraId="3A4375DB" w14:textId="683A37CC" w:rsidR="00577983" w:rsidRPr="00C66C22" w:rsidRDefault="00577983" w:rsidP="00730950"/>
    <w:sectPr w:rsidR="00577983" w:rsidRPr="00C66C22" w:rsidSect="0023700D">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E54ECA"/>
    <w:multiLevelType w:val="hybridMultilevel"/>
    <w:tmpl w:val="9E3E5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94B00A9"/>
    <w:multiLevelType w:val="hybridMultilevel"/>
    <w:tmpl w:val="E0B08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4521A2F"/>
    <w:multiLevelType w:val="hybridMultilevel"/>
    <w:tmpl w:val="88860A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5CA7593"/>
    <w:multiLevelType w:val="hybridMultilevel"/>
    <w:tmpl w:val="2DAEE9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75A7241"/>
    <w:multiLevelType w:val="hybridMultilevel"/>
    <w:tmpl w:val="B2FCDCBC"/>
    <w:lvl w:ilvl="0" w:tplc="7BB43F32">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608C1A56"/>
    <w:multiLevelType w:val="hybridMultilevel"/>
    <w:tmpl w:val="236099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D9B32B7"/>
    <w:multiLevelType w:val="hybridMultilevel"/>
    <w:tmpl w:val="B75CE5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F9500DE"/>
    <w:multiLevelType w:val="hybridMultilevel"/>
    <w:tmpl w:val="056C5DD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789D0453"/>
    <w:multiLevelType w:val="hybridMultilevel"/>
    <w:tmpl w:val="848EB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
  </w:num>
  <w:num w:numId="4">
    <w:abstractNumId w:val="7"/>
  </w:num>
  <w:num w:numId="5">
    <w:abstractNumId w:val="4"/>
  </w:num>
  <w:num w:numId="6">
    <w:abstractNumId w:val="6"/>
  </w:num>
  <w:num w:numId="7">
    <w:abstractNumId w:val="0"/>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C22"/>
    <w:rsid w:val="00044BC4"/>
    <w:rsid w:val="000662F8"/>
    <w:rsid w:val="000F09F2"/>
    <w:rsid w:val="00122DBF"/>
    <w:rsid w:val="001361C5"/>
    <w:rsid w:val="001E3011"/>
    <w:rsid w:val="00214DF7"/>
    <w:rsid w:val="002161A1"/>
    <w:rsid w:val="0023700D"/>
    <w:rsid w:val="00314624"/>
    <w:rsid w:val="003345FC"/>
    <w:rsid w:val="00352014"/>
    <w:rsid w:val="0035435C"/>
    <w:rsid w:val="003F549D"/>
    <w:rsid w:val="0041412B"/>
    <w:rsid w:val="00465F0C"/>
    <w:rsid w:val="0048514B"/>
    <w:rsid w:val="00577983"/>
    <w:rsid w:val="00626ED1"/>
    <w:rsid w:val="006E4451"/>
    <w:rsid w:val="00715481"/>
    <w:rsid w:val="00730950"/>
    <w:rsid w:val="00730D06"/>
    <w:rsid w:val="00753D2B"/>
    <w:rsid w:val="008E5E77"/>
    <w:rsid w:val="00934705"/>
    <w:rsid w:val="00981786"/>
    <w:rsid w:val="00A7207F"/>
    <w:rsid w:val="00B06BB8"/>
    <w:rsid w:val="00B54F5F"/>
    <w:rsid w:val="00C66C22"/>
    <w:rsid w:val="00C87BA4"/>
    <w:rsid w:val="00CB2249"/>
    <w:rsid w:val="00D00E8A"/>
    <w:rsid w:val="00D55BBE"/>
    <w:rsid w:val="00F12ABB"/>
    <w:rsid w:val="00F820A2"/>
    <w:rsid w:val="00F837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B4AEA"/>
  <w15:chartTrackingRefBased/>
  <w15:docId w15:val="{5CFF6900-9135-4D18-BCD3-45D7E032D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34705"/>
    <w:rPr>
      <w:color w:val="0563C1" w:themeColor="hyperlink"/>
      <w:u w:val="single"/>
    </w:rPr>
  </w:style>
  <w:style w:type="character" w:styleId="Mencinsinresolver">
    <w:name w:val="Unresolved Mention"/>
    <w:basedOn w:val="Fuentedeprrafopredeter"/>
    <w:uiPriority w:val="99"/>
    <w:semiHidden/>
    <w:unhideWhenUsed/>
    <w:rsid w:val="00934705"/>
    <w:rPr>
      <w:color w:val="605E5C"/>
      <w:shd w:val="clear" w:color="auto" w:fill="E1DFDD"/>
    </w:rPr>
  </w:style>
  <w:style w:type="paragraph" w:styleId="Prrafodelista">
    <w:name w:val="List Paragraph"/>
    <w:basedOn w:val="Normal"/>
    <w:uiPriority w:val="34"/>
    <w:qFormat/>
    <w:rsid w:val="003520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conabio.gob"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hyperlink" Target="http://www.ine.gob.mx"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915</TotalTime>
  <Pages>1</Pages>
  <Words>3611</Words>
  <Characters>19863</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roxana martinez</dc:creator>
  <cp:keywords/>
  <dc:description/>
  <cp:lastModifiedBy>roxana martinez</cp:lastModifiedBy>
  <cp:revision>14</cp:revision>
  <dcterms:created xsi:type="dcterms:W3CDTF">2020-11-17T16:23:00Z</dcterms:created>
  <dcterms:modified xsi:type="dcterms:W3CDTF">2020-11-24T05:24:00Z</dcterms:modified>
</cp:coreProperties>
</file>