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RESUMEN DE LOS PRINCIPIOS DE CLASIFICACIÓN DE LOS PAISAJES</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actualidad los paisajes naturales tienen un gran deterioro por el desarrollo humano, cambiando así sus características geomorfológicas y las propiedades esenciales de los paisajes como la tipología y cartografía.</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esta clasificación de los paisajes hay dos principios básicos, independientemente de la escala y los niveles taxonómicos a los que se somete.</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Principio histórico evolutivo: Componentes de los paisajes que evolucionan en el espacio y el tiempo, es decir, evolucionan de manera interdependiente.</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Principio estructural genético: Donde la palabra estructural refiere a las relaciones entre los componentes verticales del paisaje (relieve, roca, suelo, biota y clima) y el término genético amplia reconocer las causas y condiciones de la formación de paisajes, principalmente relacionado ante todo el relieve, ya que seas principal factor de diferenciación de la superficie terrestre.</w:t>
      </w:r>
    </w:p>
    <w:p w:rsidR="00000000" w:rsidDel="00000000" w:rsidP="00000000" w:rsidRDefault="00000000" w:rsidRPr="00000000" w14:paraId="0000000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 la diferenciación morfometrica que es también conveniente porque puede derivarse mediante técnicas automatizadas convencionales de información topográfica, de forma complementaria, distintas técnicas de interpretación de imágenes de percepción remota, también pueden emplearse para la segmentación de diferentes unidades y tipos de relieve de la superficie terrestre.</w:t>
      </w:r>
    </w:p>
    <w:p w:rsidR="00000000" w:rsidDel="00000000" w:rsidP="00000000" w:rsidRDefault="00000000" w:rsidRPr="00000000" w14:paraId="0000000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estos fines es indispensable que en el grupo de trabajo se elija  personal correctamente capacitado en fotointerpretación geomorfológica.</w:t>
      </w:r>
    </w:p>
    <w:p w:rsidR="00000000" w:rsidDel="00000000" w:rsidP="00000000" w:rsidRDefault="00000000" w:rsidRPr="00000000" w14:paraId="0000000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unidades inferiores se obtienen por la desagregación, basada en criterios morfológicos de las unidades superiores, o sea, son las formas del relieve que componen a las unidades mayores, y posteriormente, se caracterizan por la inclinación de las pendientes como montañas, lomeríos, rampas de piedemonte, valles y planicies, las planicies también incluyen altiplanicies y peniplanicies.</w:t>
      </w:r>
    </w:p>
    <w:p w:rsidR="00000000" w:rsidDel="00000000" w:rsidP="00000000" w:rsidRDefault="00000000" w:rsidRPr="00000000" w14:paraId="0000000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before="151.781005859375" w:line="239.90396976470947" w:lineRule="auto"/>
        <w:ind w:left="0" w:right="-10.8599853515625" w:firstLine="0"/>
        <w:jc w:val="cente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24"/>
          <w:szCs w:val="24"/>
          <w:rtl w:val="0"/>
        </w:rPr>
        <w:t xml:space="preserve">Procedimiento para el levantamiento  y cartografía de las unidades  superiores de los paisajes a escalas  1:50 000–1:250 000</w:t>
      </w:r>
      <w:r w:rsidDel="00000000" w:rsidR="00000000" w:rsidRPr="00000000">
        <w:rPr>
          <w:rtl w:val="0"/>
        </w:rPr>
      </w:r>
    </w:p>
    <w:p w:rsidR="00000000" w:rsidDel="00000000" w:rsidP="00000000" w:rsidRDefault="00000000" w:rsidRPr="00000000" w14:paraId="0000001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Principio de área mínima cartografiable</w:t>
      </w:r>
      <w:r w:rsidDel="00000000" w:rsidR="00000000" w:rsidRPr="00000000">
        <w:rPr>
          <w:rtl w:val="0"/>
        </w:rPr>
      </w:r>
    </w:p>
    <w:p w:rsidR="00000000" w:rsidDel="00000000" w:rsidP="00000000" w:rsidRDefault="00000000" w:rsidRPr="00000000" w14:paraId="0000001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este principio se indica que a partir de determinar el área espacial los polígonos y sus correspondientes contenidos deben ser generalizados; de lo contrario, dificultarían la distinción por parte del usuario cuando sea se lea en formato analógico, permite lograr una mayor interpretación de lectura y utilidad del mapa impreso,</w:t>
      </w:r>
      <w:r w:rsidDel="00000000" w:rsidR="00000000" w:rsidRPr="00000000">
        <w:rPr>
          <w:rFonts w:ascii="Times New Roman" w:cs="Times New Roman" w:eastAsia="Times New Roman" w:hAnsi="Times New Roman"/>
          <w:sz w:val="24"/>
          <w:szCs w:val="24"/>
          <w:rtl w:val="0"/>
        </w:rPr>
        <w:t xml:space="preserve"> este principio indica que a partir de determinada área espacial,  los polígonos y sus correspondientes contenidos deben ser generalizados; de  lo contrario, dificultarían la distinción por parte del usuario cuando se lea en  formato analógico.</w:t>
      </w:r>
    </w:p>
    <w:p w:rsidR="00000000" w:rsidDel="00000000" w:rsidP="00000000" w:rsidRDefault="00000000" w:rsidRPr="00000000" w14:paraId="0000001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567113" cy="266161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67113" cy="266161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before="270.01953125"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Definición de los tipos de relieve </w:t>
      </w:r>
    </w:p>
    <w:p w:rsidR="00000000" w:rsidDel="00000000" w:rsidP="00000000" w:rsidRDefault="00000000" w:rsidRPr="00000000" w14:paraId="00000017">
      <w:pPr>
        <w:widowControl w:val="0"/>
        <w:spacing w:before="299.91943359375" w:line="254.44364547729492" w:lineRule="auto"/>
        <w:ind w:left="0" w:right="10.8197021484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relieve, en sentido estricto, describe el conjunto de formas o irregularidades  que presenta la superficie terrestre, y que son resultado de una combinación  dada de estructura litológica y topográfica. El concepto de relieve también en cierra la noción de amplitud altitudinal,</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o altura relativa entre dos puntos, el  más bajo y el más alto de una unidad, medida en metros. Aunque en forma  redundante, se suele usar también el concepto de amplitud del relieve (o relieve  interno) para describir el desnivel o distancia vertical entre dos puntos de una  unidad, en general, el de mayor y el de menor altitud.</w:t>
      </w:r>
    </w:p>
    <w:p w:rsidR="00000000" w:rsidDel="00000000" w:rsidP="00000000" w:rsidRDefault="00000000" w:rsidRPr="00000000" w14:paraId="00000018">
      <w:pPr>
        <w:widowControl w:val="0"/>
        <w:spacing w:before="299.91943359375" w:line="254.44364547729492" w:lineRule="auto"/>
        <w:ind w:left="0" w:right="10.819702148437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535200" cy="2247070"/>
            <wp:effectExtent b="0" l="0" r="0" t="0"/>
            <wp:docPr id="2" name="image2.png"/>
            <a:graphic>
              <a:graphicData uri="http://schemas.openxmlformats.org/drawingml/2006/picture">
                <pic:pic>
                  <pic:nvPicPr>
                    <pic:cNvPr id="0" name="image2.png"/>
                    <pic:cNvPicPr preferRelativeResize="0"/>
                  </pic:nvPicPr>
                  <pic:blipFill>
                    <a:blip r:embed="rId7"/>
                    <a:srcRect b="20115" l="9634" r="8305" t="43627"/>
                    <a:stretch>
                      <a:fillRect/>
                    </a:stretch>
                  </pic:blipFill>
                  <pic:spPr>
                    <a:xfrm>
                      <a:off x="0" y="0"/>
                      <a:ext cx="3535200" cy="224707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before="250.0323486328125" w:line="215.29892921447754" w:lineRule="auto"/>
        <w:ind w:left="0" w:right="202.37976074218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Definición de la composición litológica de los tipos  de relieve </w:t>
      </w:r>
    </w:p>
    <w:p w:rsidR="00000000" w:rsidDel="00000000" w:rsidP="00000000" w:rsidRDefault="00000000" w:rsidRPr="00000000" w14:paraId="0000001A">
      <w:pPr>
        <w:widowControl w:val="0"/>
        <w:spacing w:before="323.33953857421875" w:line="254.44364547729492" w:lineRule="auto"/>
        <w:ind w:left="0" w:right="11.480712890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siguiente paso consiste en determinar cuál es la composición litológica (ro cas o depósitos) de los tipos de relieves. Esto es esencial para conocer la génesis  del paisaje y para comprender las particularidades de la cubierta de suelos. Los  insumos para este paso son el mapa de tipos de relieve y el mapa litológico.  Lo ideal es que ambos estén a la misma escala. Esto no siempre es posible,  especialmente, cuando se hacen mapas a escalas mayores a 1:250 000, porque  no existe cobertura geológica para todo el país a escala mayores a ésa. En estos  casos, es necesario realizar trabajo de campo para precisar lo más posible la  litología, que generalmente provendrá de la escala 1:250 000. </w:t>
      </w:r>
      <w:r w:rsidDel="00000000" w:rsidR="00000000" w:rsidRPr="00000000">
        <w:rPr>
          <w:rtl w:val="0"/>
        </w:rPr>
      </w:r>
    </w:p>
    <w:p w:rsidR="00000000" w:rsidDel="00000000" w:rsidP="00000000" w:rsidRDefault="00000000" w:rsidRPr="00000000" w14:paraId="0000001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before="270.0201416015625"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Definición del tipo climático para las unidades morfolitológicas </w:t>
      </w:r>
    </w:p>
    <w:p w:rsidR="00000000" w:rsidDel="00000000" w:rsidP="00000000" w:rsidRDefault="00000000" w:rsidRPr="00000000" w14:paraId="0000001D">
      <w:pPr>
        <w:widowControl w:val="0"/>
        <w:spacing w:before="299.9200439453125" w:line="254.44364547729492" w:lineRule="auto"/>
        <w:ind w:left="0" w:right="11.0424804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siguiente paso consiste en determinar cuál es el tipo de clima que predomina en cada unidad morfo litológica. Los insumos para la ejecución de este  paso son el mapa obtenido en el paso anterior y el mapa climático, esto significa que, teóricamente, no debería emplearse para proyectos  a escalas mayores a 1:1 000 000. Sin embargo, ante la ausencia de cartografía  climática a otras escalas mayores, es imprescindible usar el mapa señalado. Si  no se poseen los datos requeridos para elaborar el mapa climático no hay otra  posibilidad que ampliar el mapa 1:1 000 000, la primera columna proporciona un ejemplo donde la vegetación podría  haber servido para ayudar a definir que, en efecto, los climas cálidos, aunque  aparecen en la unidad no la caracterizan, porque la cobertura vegetal presente  no corresponde a climas cálidos y sí a climas templados subhúmedos. </w:t>
      </w:r>
    </w:p>
    <w:p w:rsidR="00000000" w:rsidDel="00000000" w:rsidP="00000000" w:rsidRDefault="00000000" w:rsidRPr="00000000" w14:paraId="0000001E">
      <w:pPr>
        <w:widowControl w:val="0"/>
        <w:spacing w:before="299.9200439453125" w:line="254.44364547729492" w:lineRule="auto"/>
        <w:ind w:left="0" w:right="11.0424804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error  puede provenir de la propia ampliación del mapa 1:1 000 000 hasta 1:250 000, el tipo templado húmedo ha quedado fuera de la definición por no cumplir  con el área mínima cartografiable, aunque la vegetación presente nos indique  que sí pudiese estar. </w:t>
      </w:r>
    </w:p>
    <w:p w:rsidR="00000000" w:rsidDel="00000000" w:rsidP="00000000" w:rsidRDefault="00000000" w:rsidRPr="00000000" w14:paraId="0000001F">
      <w:pPr>
        <w:widowControl w:val="0"/>
        <w:spacing w:before="151.781005859375" w:line="239.9044132232666" w:lineRule="auto"/>
        <w:ind w:left="0" w:right="-10.859985351562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before="151.781005859375" w:line="239.9044132232666" w:lineRule="auto"/>
        <w:ind w:left="0" w:right="-10.859985351562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Procedimiento para el levantamiento  y cartografía de las unidades  inferiores de los paisajes  </w:t>
      </w:r>
    </w:p>
    <w:p w:rsidR="00000000" w:rsidDel="00000000" w:rsidP="00000000" w:rsidRDefault="00000000" w:rsidRPr="00000000" w14:paraId="00000021">
      <w:pPr>
        <w:widowControl w:val="0"/>
        <w:spacing w:before="12.021484375"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escalas 1:50 000–1:250 000 </w:t>
      </w:r>
    </w:p>
    <w:p w:rsidR="00000000" w:rsidDel="00000000" w:rsidP="00000000" w:rsidRDefault="00000000" w:rsidRPr="00000000" w14:paraId="00000022">
      <w:pPr>
        <w:widowControl w:val="0"/>
        <w:spacing w:before="12.021484375"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before="12.02148437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unidades inferiores se definen por la descomposición morfológica de los tipos de relieve, o sea, por la definición de las unidades menores que componen a  los tipos de relieve. A continuación se exponen las distintas unidades inferiores  de los tipos de relieve utilizando criterios morfológicos y morfométricos. </w:t>
      </w:r>
    </w:p>
    <w:p w:rsidR="00000000" w:rsidDel="00000000" w:rsidP="00000000" w:rsidRDefault="00000000" w:rsidRPr="00000000" w14:paraId="00000024">
      <w:pPr>
        <w:widowControl w:val="0"/>
        <w:spacing w:before="12.021484375"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before="250.0201416015625"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Montañas y lomeríos  </w:t>
      </w:r>
    </w:p>
    <w:p w:rsidR="00000000" w:rsidDel="00000000" w:rsidP="00000000" w:rsidRDefault="00000000" w:rsidRPr="00000000" w14:paraId="00000026">
      <w:pPr>
        <w:widowControl w:val="0"/>
        <w:spacing w:before="296.580200195312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unidades inferiores son: </w:t>
      </w:r>
    </w:p>
    <w:p w:rsidR="00000000" w:rsidDel="00000000" w:rsidP="00000000" w:rsidRDefault="00000000" w:rsidRPr="00000000" w14:paraId="00000027">
      <w:pPr>
        <w:widowControl w:val="0"/>
        <w:spacing w:before="23.2598876953125" w:line="254.44355964660645" w:lineRule="auto"/>
        <w:ind w:left="0" w:right="11.48254394531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before="23.2598876953125" w:line="254.44355964660645" w:lineRule="auto"/>
        <w:ind w:left="0" w:right="11.4825439453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Complejos cumbrales: son los complejos de cimas y puertos, incluidos los  sectores de parteaguas que en ellos queden incluidos. Resultan de la unión de  varias cimas y puertos, siguiendo la curva de nivel inferior más cercana que  agrupe a todas esas geoformas. Es difícil encontrar complejos cumbrales con  inclinación menor a 1º. El cuadro 13 expone las diferencias en las escalas. </w:t>
      </w:r>
    </w:p>
    <w:p w:rsidR="00000000" w:rsidDel="00000000" w:rsidP="00000000" w:rsidRDefault="00000000" w:rsidRPr="00000000" w14:paraId="00000029">
      <w:pPr>
        <w:widowControl w:val="0"/>
        <w:spacing w:before="10.0201416015625" w:line="254.44364547729492" w:lineRule="auto"/>
        <w:ind w:left="0" w:right="11.78771972656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spacing w:before="10.0201416015625" w:line="254.44364547729492" w:lineRule="auto"/>
        <w:ind w:left="0" w:right="11.787719726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Complejo de laderas y barrancos: son todos los polígonos de unidades que  no están en los complejos cumbrales y que poseen más de 3 grados de inclinación de la pendiente. No se diferencian ni cartografían los valles de corrientes  temporales, si no que van incluidos en el complejo. Se subdividen al igual que  el caso anterior, pero sin incluir las pendientes menores a 3º. Los complejos de  laderas y barrancos incluyen las siguientes unidades morfológicas inferiores:  laderas con más de 3º de inclinación; parteaguas; cornisas y barrancos existentes al interior de las laderas. </w:t>
      </w:r>
    </w:p>
    <w:p w:rsidR="00000000" w:rsidDel="00000000" w:rsidP="00000000" w:rsidRDefault="00000000" w:rsidRPr="00000000" w14:paraId="0000002B">
      <w:pPr>
        <w:widowControl w:val="0"/>
        <w:spacing w:before="370.2044677734375"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Valles </w:t>
      </w:r>
    </w:p>
    <w:p w:rsidR="00000000" w:rsidDel="00000000" w:rsidP="00000000" w:rsidRDefault="00000000" w:rsidRPr="00000000" w14:paraId="0000002C">
      <w:pPr>
        <w:widowControl w:val="0"/>
        <w:spacing w:before="299.920043945312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unidades inferiores son: </w:t>
      </w:r>
    </w:p>
    <w:p w:rsidR="00000000" w:rsidDel="00000000" w:rsidP="00000000" w:rsidRDefault="00000000" w:rsidRPr="00000000" w14:paraId="0000002D">
      <w:pPr>
        <w:widowControl w:val="0"/>
        <w:spacing w:before="23.2598876953125" w:line="254.44364547729492" w:lineRule="auto"/>
        <w:ind w:left="0" w:right="12.3608398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Complejo de colinas residuales: es un concepto similar al explicado para el caso  de las rampas de piedemontes, es decir, se trata de geoformas similares, pero en tipos  de relieve diferente. Sin embargo, es necesario señalar que en el caso de valles intra montanos no sería raro encontrar complejos de colinas residuales con pendientes  mayores a 20º. El cuadro 19 ofrece la clasificación morfométrica en distintas escalas.  Los complejos de colinas residuales pueden encontrarse, indistintamente, en cualquier parte del valle, o sea al interior de las otras unidades inferiores. </w:t>
      </w:r>
    </w:p>
    <w:p w:rsidR="00000000" w:rsidDel="00000000" w:rsidP="00000000" w:rsidRDefault="00000000" w:rsidRPr="00000000" w14:paraId="0000002E">
      <w:pPr>
        <w:widowControl w:val="0"/>
        <w:spacing w:before="10.0201416015625" w:line="254.44364547729492" w:lineRule="auto"/>
        <w:ind w:left="0" w:right="11.78771972656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before="12.021484375"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before="299.9200439453125" w:line="254.44364547729492" w:lineRule="auto"/>
        <w:ind w:left="0" w:right="11.042480468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before="299.9200439453125" w:line="254.44364547729492" w:lineRule="auto"/>
        <w:ind w:left="0" w:right="11.042480468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before="299.9200439453125" w:line="254.44364547729492" w:lineRule="auto"/>
        <w:ind w:left="0" w:right="11.042480468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