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METODOLOGÍA PARA LA EVALUACIÓN DE LA APTITUD DEL DEL TERRITORIO DEL MUNICIPIO DE CUERNAVACA</w:t>
      </w:r>
    </w:p>
    <w:p w:rsidR="00000000" w:rsidDel="00000000" w:rsidP="00000000" w:rsidRDefault="00000000" w:rsidRPr="00000000" w14:paraId="00000002">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ANÁLISIS DE APTITUD</w:t>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evaluación del territorio de Cuernavaca se enmarca en la estrategia de planificación del  uso de la tierra con que, las autoridades municipales, orientarán la localización óptima de la  población y de las actividades, el manejo de los recursos naturales y áreas protegidas y el  desarrollo de sistemas productivos sostenibles y la adecuación y recuperación de tierras.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análisis constituye un eje fundamental del OET, ya que permite la optimización del uso  actual del territorio, al consolidar formas de manejo presentes que sean compatibles con las  cualidades y aptitudes del territorio, al mismo tiempo que orienta la búsqueda de  alternativas para los casos en que las actuales o pasadas formas de manejo resulten  inadecuadas.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evaluación del uso del territorio se realiza a partir de dos procesos  subordinados.</w:t>
      </w:r>
    </w:p>
    <w:p w:rsidR="00000000" w:rsidDel="00000000" w:rsidP="00000000" w:rsidRDefault="00000000" w:rsidRPr="00000000" w14:paraId="00000008">
      <w:pPr>
        <w:widowControl w:val="0"/>
        <w:spacing w:before="290.99609375" w:line="240" w:lineRule="auto"/>
        <w:ind w:left="121.3363647460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Evaluación de la aptitud del territorio. </w:t>
      </w:r>
    </w:p>
    <w:p w:rsidR="00000000" w:rsidDel="00000000" w:rsidP="00000000" w:rsidRDefault="00000000" w:rsidRPr="00000000" w14:paraId="00000009">
      <w:pPr>
        <w:widowControl w:val="0"/>
        <w:spacing w:before="279.96337890625" w:line="229.30758476257324" w:lineRule="auto"/>
        <w:ind w:left="460.46600341796875" w:right="107.2314453125" w:hanging="339.3630981445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Evaluación de los conflictos de uso y sus tendencias y determinación de unidades prioritarias de acción. </w:t>
      </w:r>
    </w:p>
    <w:p w:rsidR="00000000" w:rsidDel="00000000" w:rsidP="00000000" w:rsidRDefault="00000000" w:rsidRPr="00000000" w14:paraId="0000000A">
      <w:pPr>
        <w:widowControl w:val="0"/>
        <w:spacing w:before="273.64410400390625" w:line="230.05797386169434" w:lineRule="auto"/>
        <w:ind w:left="0" w:right="37.025146484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3.34000015258789"/>
          <w:szCs w:val="23.34000015258789"/>
          <w:rtl w:val="0"/>
        </w:rPr>
        <w:t xml:space="preserve">El objetivo del análisis de aptitud es determinar la posible ocurrencia de conflictos  ambientales por la sobreposición de usos del suelo incompatibles, mediante técnicas  estadísticas. Éste método ha sido utilizado con éxito en diversos estudios de caso de  ordenamiento ecológico en México (OEA/INE, 1992a y b; Maderas del Pueblo, 1994;  UAEM, 2003).  </w:t>
      </w:r>
      <w:r w:rsidDel="00000000" w:rsidR="00000000" w:rsidRPr="00000000">
        <w:rPr>
          <w:rtl w:val="0"/>
        </w:rPr>
      </w:r>
    </w:p>
    <w:p w:rsidR="00000000" w:rsidDel="00000000" w:rsidP="00000000" w:rsidRDefault="00000000" w:rsidRPr="00000000" w14:paraId="0000000B">
      <w:pPr>
        <w:widowControl w:val="0"/>
        <w:spacing w:before="273.634033203125" w:line="229.97510433197021" w:lineRule="auto"/>
        <w:ind w:left="0" w:right="36.3464355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resultados de los análisis numéricos se plasman en forma gráfica en un mapa de aptitud  de uso del suelo relativa para cada sector. Al sumar estos mapas reclasificados en zonas  aptas (valor 1) y no aptas (valor 0) se obtiene la representación cartográfica de las áreas  con mayores conflictos ambientales y por ende de atención prioritaria para el desarrollo de  lineamientos de manejo ambiental que faciliten la resolución de dichos conflictos. Los  resultados del análisis facilitan la formulación y discusión de los criterios de manejo  ambiental para cada unidad de gestión dentro del programa de ordenamiento territorial.  </w:t>
      </w:r>
    </w:p>
    <w:p w:rsidR="00000000" w:rsidDel="00000000" w:rsidP="00000000" w:rsidRDefault="00000000" w:rsidRPr="00000000" w14:paraId="0000000C">
      <w:pPr>
        <w:widowControl w:val="0"/>
        <w:spacing w:before="375.068359375"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Sector conservación  </w:t>
      </w:r>
    </w:p>
    <w:p w:rsidR="00000000" w:rsidDel="00000000" w:rsidP="00000000" w:rsidRDefault="00000000" w:rsidRPr="00000000" w14:paraId="0000000D">
      <w:pPr>
        <w:widowControl w:val="0"/>
        <w:spacing w:before="323.02490234375" w:line="229.97510433197021" w:lineRule="auto"/>
        <w:ind w:left="0" w:right="37.794189453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analizar la aptitud para esta actividad se tomaron en cuenta los siguientes indicadores:  presencia de cubierta vegetal natural, riqueza de especies, zonas de importancia para la  recarga del acuífero y pendientes altas que limitan el desarrollo de actividades  antropogénicas </w:t>
      </w:r>
    </w:p>
    <w:p w:rsidR="00000000" w:rsidDel="00000000" w:rsidP="00000000" w:rsidRDefault="00000000" w:rsidRPr="00000000" w14:paraId="0000000E">
      <w:pPr>
        <w:widowControl w:val="0"/>
        <w:spacing w:before="294.0997314453125" w:line="229.93266105651855" w:lineRule="auto"/>
        <w:ind w:left="0" w:right="36.4160156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mapa se muestra que las zonas más aptas para la  conservación se encuentran distribuidas en su mayoría en el área norte del municipio, en los  cerros boscosos que se encuentran dentro del Corredor Biológico Chichinautzin y el Parque  Nacional Lagunas de Zempoala, de igual manera las áreas boscosas que descienden por el  poniente tienen valores muy altos y son áreas de mayor prioridad por no contar con un  decreto que las proteja, las barrancas del poniente de Cuernavaca, que se localizan en la  parte rural del municipio. presentaron también valores altos, las barrancas que se localizan  hacia el interior de la mancha urbana, presentaron valores menores debido a su mayor  grado de perturbación. </w:t>
      </w:r>
    </w:p>
    <w:p w:rsidR="00000000" w:rsidDel="00000000" w:rsidP="00000000" w:rsidRDefault="00000000" w:rsidRPr="00000000" w14:paraId="0000000F">
      <w:pPr>
        <w:widowControl w:val="0"/>
        <w:spacing w:before="294.0997314453125" w:line="229.93266105651855" w:lineRule="auto"/>
        <w:ind w:left="0" w:right="36.416015625" w:firstLine="0"/>
        <w:jc w:val="both"/>
        <w:rPr>
          <w:rFonts w:ascii="Times New Roman" w:cs="Times New Roman" w:eastAsia="Times New Roman" w:hAnsi="Times New Roman"/>
          <w:sz w:val="24"/>
          <w:szCs w:val="24"/>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Zonas de Vegetación Natural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Condición Favorable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Ponderación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Vegetación Natural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Presencia de selva baja caducifolia conservada, selva baja con vegetación secundaria y riparia.</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Presencia de vegetación secundaria (neutral).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riqueza de presencia de especies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Presencia de especies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Recarga de acuifero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Recarga de acuifero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Zonas de alta pendiente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Pendiente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w:t>
            </w:r>
          </w:p>
        </w:tc>
      </w:tr>
    </w:tbl>
    <w:p w:rsidR="00000000" w:rsidDel="00000000" w:rsidP="00000000" w:rsidRDefault="00000000" w:rsidRPr="00000000" w14:paraId="00000020">
      <w:pPr>
        <w:widowControl w:val="0"/>
        <w:spacing w:before="294.0997314453125" w:line="229.93266105651855" w:lineRule="auto"/>
        <w:ind w:left="0" w:right="36.41601562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widowControl w:val="0"/>
        <w:spacing w:before="323.02490234375" w:line="229.97510433197021" w:lineRule="auto"/>
        <w:ind w:left="110.36697387695312" w:right="37.794189453125" w:firstLine="2.567443847656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widowControl w:val="0"/>
        <w:spacing w:line="466.6988182067871" w:lineRule="auto"/>
        <w:ind w:left="110.39993286132812" w:right="77.373046875" w:firstLine="2.430572509765625"/>
        <w:rPr>
          <w:rFonts w:ascii="Times New Roman" w:cs="Times New Roman" w:eastAsia="Times New Roman" w:hAnsi="Times New Roman"/>
          <w:sz w:val="23.34000015258789"/>
          <w:szCs w:val="23.34000015258789"/>
        </w:rPr>
        <w:sectPr>
          <w:pgSz w:h="16834" w:w="11909"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Pr>
        <w:drawing>
          <wp:inline distB="19050" distT="19050" distL="19050" distR="19050">
            <wp:extent cx="5461901" cy="2728722"/>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61901" cy="2728722"/>
                    </a:xfrm>
                    <a:prstGeom prst="rect"/>
                    <a:ln/>
                  </pic:spPr>
                </pic:pic>
              </a:graphicData>
            </a:graphic>
          </wp:inline>
        </w:drawing>
      </w:r>
      <w:r w:rsidDel="00000000" w:rsidR="00000000" w:rsidRPr="00000000">
        <w:rPr>
          <w:rFonts w:ascii="Times New Roman" w:cs="Times New Roman" w:eastAsia="Times New Roman" w:hAnsi="Times New Roman"/>
          <w:sz w:val="21.35580062866211"/>
          <w:szCs w:val="21.35580062866211"/>
        </w:rPr>
        <w:drawing>
          <wp:inline distB="19050" distT="19050" distL="19050" distR="19050">
            <wp:extent cx="5461901" cy="272796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461901" cy="272796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widowControl w:val="0"/>
        <w:spacing w:line="240" w:lineRule="auto"/>
        <w:ind w:left="111.88095092773438" w:firstLine="0"/>
        <w:rPr>
          <w:rFonts w:ascii="Times New Roman" w:cs="Times New Roman" w:eastAsia="Times New Roman" w:hAnsi="Times New Roman"/>
          <w:sz w:val="23.34000015258789"/>
          <w:szCs w:val="23.34000015258789"/>
        </w:rPr>
      </w:pPr>
      <w:r w:rsidDel="00000000" w:rsidR="00000000" w:rsidRPr="00000000">
        <w:rPr>
          <w:rFonts w:ascii="Times New Roman" w:cs="Times New Roman" w:eastAsia="Times New Roman" w:hAnsi="Times New Roman"/>
          <w:sz w:val="23.34000015258789"/>
          <w:szCs w:val="23.34000015258789"/>
          <w:rtl w:val="0"/>
        </w:rPr>
        <w:t xml:space="preserve">Mapa de aptitud para conservación. </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