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BD328" w14:textId="77777777" w:rsidR="00695BF3" w:rsidRDefault="00695BF3" w:rsidP="00695BF3">
      <w:pPr>
        <w:pStyle w:val="Titre2"/>
        <w:pBdr>
          <w:left w:val="single" w:sz="18" w:space="8" w:color="009DE0"/>
        </w:pBdr>
        <w:spacing w:before="240" w:after="72" w:line="240" w:lineRule="atLeast"/>
        <w:rPr>
          <w:rFonts w:ascii="Arial" w:eastAsia="Times New Roman" w:hAnsi="Arial" w:cs="Arial"/>
          <w:b w:val="0"/>
          <w:bCs w:val="0"/>
          <w:color w:val="000000"/>
          <w:spacing w:val="7"/>
          <w:sz w:val="34"/>
          <w:szCs w:val="34"/>
        </w:rPr>
      </w:pPr>
      <w:r>
        <w:rPr>
          <w:rFonts w:ascii="Arial" w:eastAsia="Times New Roman" w:hAnsi="Arial" w:cs="Arial"/>
          <w:b w:val="0"/>
          <w:bCs w:val="0"/>
          <w:color w:val="000000"/>
          <w:spacing w:val="7"/>
          <w:sz w:val="34"/>
          <w:szCs w:val="34"/>
        </w:rPr>
        <w:t>Expliciter : comment, pourquoi, quand ?</w:t>
      </w:r>
    </w:p>
    <w:p w14:paraId="00207961" w14:textId="77777777" w:rsidR="00695BF3" w:rsidRDefault="00695BF3" w:rsidP="00695BF3">
      <w:pPr>
        <w:pStyle w:val="NormalWeb"/>
        <w:spacing w:before="0" w:beforeAutospacing="0" w:after="0" w:afterAutospacing="0"/>
        <w:jc w:val="both"/>
        <w:rPr>
          <w:rFonts w:ascii="Arial" w:hAnsi="Arial" w:cs="Arial"/>
          <w:color w:val="000000"/>
          <w:sz w:val="24"/>
          <w:szCs w:val="24"/>
        </w:rPr>
      </w:pPr>
      <w:r>
        <w:rPr>
          <w:rFonts w:ascii="Arial" w:hAnsi="Arial" w:cs="Arial"/>
          <w:color w:val="000000"/>
          <w:sz w:val="24"/>
          <w:szCs w:val="24"/>
        </w:rPr>
        <w:t>Reprenant la typologie utilisée dans l’</w:t>
      </w:r>
      <w:hyperlink r:id="rId6" w:history="1">
        <w:r>
          <w:rPr>
            <w:rStyle w:val="Lienhypertexte"/>
            <w:rFonts w:ascii="Arial" w:hAnsi="Arial" w:cs="Arial"/>
            <w:sz w:val="24"/>
            <w:szCs w:val="24"/>
            <w:bdr w:val="none" w:sz="0" w:space="0" w:color="auto" w:frame="1"/>
          </w:rPr>
          <w:t>enquête sur les pratiques d’apprentissage du lire-écrire au CP</w:t>
        </w:r>
      </w:hyperlink>
      <w:r>
        <w:rPr>
          <w:rStyle w:val="apple-converted-space"/>
          <w:rFonts w:ascii="Arial" w:hAnsi="Arial" w:cs="Arial"/>
          <w:color w:val="000000"/>
          <w:sz w:val="24"/>
          <w:szCs w:val="24"/>
        </w:rPr>
        <w:t> </w:t>
      </w:r>
      <w:r>
        <w:rPr>
          <w:rFonts w:ascii="Arial" w:hAnsi="Arial" w:cs="Arial"/>
          <w:color w:val="000000"/>
          <w:sz w:val="24"/>
          <w:szCs w:val="24"/>
        </w:rPr>
        <w:t> pilotée par l’</w:t>
      </w:r>
      <w:proofErr w:type="spellStart"/>
      <w:r>
        <w:rPr>
          <w:rFonts w:ascii="Arial" w:hAnsi="Arial" w:cs="Arial"/>
          <w:color w:val="000000"/>
          <w:sz w:val="24"/>
          <w:szCs w:val="24"/>
        </w:rPr>
        <w:t>IFé</w:t>
      </w:r>
      <w:proofErr w:type="spellEnd"/>
      <w:r>
        <w:rPr>
          <w:rFonts w:ascii="Arial" w:hAnsi="Arial" w:cs="Arial"/>
          <w:color w:val="000000"/>
          <w:sz w:val="24"/>
          <w:szCs w:val="24"/>
        </w:rPr>
        <w:t xml:space="preserve"> et le</w:t>
      </w:r>
      <w:r>
        <w:rPr>
          <w:rStyle w:val="apple-converted-space"/>
          <w:rFonts w:ascii="Arial" w:hAnsi="Arial" w:cs="Arial"/>
          <w:color w:val="000000"/>
          <w:sz w:val="24"/>
          <w:szCs w:val="24"/>
        </w:rPr>
        <w:t> </w:t>
      </w:r>
      <w:hyperlink r:id="rId7" w:history="1">
        <w:r>
          <w:rPr>
            <w:rStyle w:val="Lienhypertexte"/>
            <w:rFonts w:ascii="Arial" w:hAnsi="Arial" w:cs="Arial"/>
            <w:sz w:val="24"/>
            <w:szCs w:val="24"/>
            <w:bdr w:val="none" w:sz="0" w:space="0" w:color="auto" w:frame="1"/>
          </w:rPr>
          <w:t xml:space="preserve">laboratoire </w:t>
        </w:r>
        <w:proofErr w:type="spellStart"/>
        <w:r>
          <w:rPr>
            <w:rStyle w:val="Lienhypertexte"/>
            <w:rFonts w:ascii="Arial" w:hAnsi="Arial" w:cs="Arial"/>
            <w:sz w:val="24"/>
            <w:szCs w:val="24"/>
            <w:bdr w:val="none" w:sz="0" w:space="0" w:color="auto" w:frame="1"/>
          </w:rPr>
          <w:t>ACTé</w:t>
        </w:r>
        <w:proofErr w:type="spellEnd"/>
      </w:hyperlink>
      <w:r>
        <w:rPr>
          <w:rFonts w:ascii="Arial" w:hAnsi="Arial" w:cs="Arial"/>
          <w:color w:val="000000"/>
          <w:sz w:val="24"/>
          <w:szCs w:val="24"/>
        </w:rPr>
        <w:t>, nous pouvons donc proposer deux grandes catégories d’explicitation réalisées par l’enseignant :</w:t>
      </w:r>
    </w:p>
    <w:p w14:paraId="78DD3B87" w14:textId="77777777" w:rsidR="00695BF3" w:rsidRDefault="00695BF3" w:rsidP="00695BF3">
      <w:pPr>
        <w:numPr>
          <w:ilvl w:val="0"/>
          <w:numId w:val="1"/>
        </w:numPr>
        <w:spacing w:line="288" w:lineRule="atLeast"/>
        <w:ind w:left="480"/>
        <w:rPr>
          <w:rFonts w:ascii="Arial" w:eastAsia="Times New Roman" w:hAnsi="Arial" w:cs="Arial"/>
          <w:color w:val="000000"/>
        </w:rPr>
      </w:pPr>
      <w:r>
        <w:rPr>
          <w:rStyle w:val="lev"/>
          <w:rFonts w:ascii="Arial" w:eastAsia="Times New Roman" w:hAnsi="Arial" w:cs="Arial"/>
          <w:color w:val="000000"/>
        </w:rPr>
        <w:t>explicitation du pourquoi</w:t>
      </w:r>
      <w:r>
        <w:rPr>
          <w:rStyle w:val="apple-converted-space"/>
          <w:rFonts w:ascii="Arial" w:eastAsia="Times New Roman" w:hAnsi="Arial" w:cs="Arial"/>
          <w:color w:val="000000"/>
        </w:rPr>
        <w:t> </w:t>
      </w:r>
      <w:r>
        <w:rPr>
          <w:rFonts w:ascii="Arial" w:eastAsia="Times New Roman" w:hAnsi="Arial" w:cs="Arial"/>
          <w:color w:val="000000"/>
        </w:rPr>
        <w:t>: explicitation des finalités de la tâche (apprentissages visés, par exemple) </w:t>
      </w:r>
    </w:p>
    <w:p w14:paraId="5A419A36" w14:textId="77777777" w:rsidR="00695BF3" w:rsidRDefault="00695BF3" w:rsidP="00695BF3">
      <w:pPr>
        <w:numPr>
          <w:ilvl w:val="0"/>
          <w:numId w:val="1"/>
        </w:numPr>
        <w:spacing w:line="288" w:lineRule="atLeast"/>
        <w:ind w:left="480"/>
        <w:rPr>
          <w:rFonts w:ascii="Arial" w:eastAsia="Times New Roman" w:hAnsi="Arial" w:cs="Arial"/>
          <w:color w:val="000000"/>
        </w:rPr>
      </w:pPr>
      <w:r>
        <w:rPr>
          <w:rStyle w:val="lev"/>
          <w:rFonts w:ascii="Arial" w:eastAsia="Times New Roman" w:hAnsi="Arial" w:cs="Arial"/>
          <w:color w:val="000000"/>
        </w:rPr>
        <w:t>explicitation du comment</w:t>
      </w:r>
      <w:r>
        <w:rPr>
          <w:rStyle w:val="apple-converted-space"/>
          <w:rFonts w:ascii="Arial" w:eastAsia="Times New Roman" w:hAnsi="Arial" w:cs="Arial"/>
          <w:color w:val="000000"/>
        </w:rPr>
        <w:t> </w:t>
      </w:r>
      <w:r>
        <w:rPr>
          <w:rFonts w:ascii="Arial" w:eastAsia="Times New Roman" w:hAnsi="Arial" w:cs="Arial"/>
          <w:color w:val="000000"/>
        </w:rPr>
        <w:t>: explicitation des procédures, stratégies ou connaissances à mobiliser pour traiter la tâche.</w:t>
      </w:r>
    </w:p>
    <w:p w14:paraId="5CB7E7BF" w14:textId="77777777" w:rsidR="00B36782" w:rsidRDefault="00B36782" w:rsidP="00695BF3">
      <w:pPr>
        <w:pStyle w:val="NormalWeb"/>
        <w:spacing w:before="0" w:beforeAutospacing="0" w:after="240" w:afterAutospacing="0"/>
        <w:jc w:val="both"/>
        <w:rPr>
          <w:rFonts w:ascii="Arial" w:hAnsi="Arial" w:cs="Arial"/>
          <w:color w:val="000000"/>
          <w:sz w:val="24"/>
          <w:szCs w:val="24"/>
        </w:rPr>
      </w:pPr>
    </w:p>
    <w:p w14:paraId="21C5EEB3" w14:textId="77777777" w:rsidR="00695BF3" w:rsidRDefault="00695BF3" w:rsidP="00695BF3">
      <w:pPr>
        <w:pStyle w:val="NormalWeb"/>
        <w:spacing w:before="0" w:beforeAutospacing="0" w:after="240" w:afterAutospacing="0"/>
        <w:jc w:val="both"/>
        <w:rPr>
          <w:rFonts w:ascii="Arial" w:hAnsi="Arial" w:cs="Arial"/>
          <w:color w:val="000000"/>
          <w:sz w:val="24"/>
          <w:szCs w:val="24"/>
        </w:rPr>
      </w:pPr>
      <w:r>
        <w:rPr>
          <w:rFonts w:ascii="Arial" w:hAnsi="Arial" w:cs="Arial"/>
          <w:color w:val="000000"/>
          <w:sz w:val="24"/>
          <w:szCs w:val="24"/>
        </w:rPr>
        <w:t>Énoncer ces principes ne règle évidemment pas la difficulté pour les enseignants à pouvoir le faire en contexte de classe :</w:t>
      </w:r>
    </w:p>
    <w:p w14:paraId="4162FDC7" w14:textId="77777777" w:rsidR="00695BF3" w:rsidRDefault="00695BF3" w:rsidP="00695BF3">
      <w:pPr>
        <w:numPr>
          <w:ilvl w:val="0"/>
          <w:numId w:val="2"/>
        </w:numPr>
        <w:spacing w:after="60" w:line="288" w:lineRule="atLeast"/>
        <w:ind w:left="480"/>
        <w:rPr>
          <w:rFonts w:ascii="Arial" w:eastAsia="Times New Roman" w:hAnsi="Arial" w:cs="Arial"/>
          <w:color w:val="000000"/>
        </w:rPr>
      </w:pPr>
      <w:bookmarkStart w:id="0" w:name="_GoBack"/>
      <w:bookmarkEnd w:id="0"/>
      <w:r>
        <w:rPr>
          <w:rFonts w:ascii="Arial" w:eastAsia="Times New Roman" w:hAnsi="Arial" w:cs="Arial"/>
          <w:color w:val="000000"/>
        </w:rPr>
        <w:t>D’abord parce que toutes ces préoccupations risquent de ralentir démesurément la leçon en allongeant le temps de consigne ou de parole magistrale, et de perdre certains élèves centrés davantage par la nature des tâches scolaires que par leurs significations. </w:t>
      </w:r>
    </w:p>
    <w:p w14:paraId="0DAE9057" w14:textId="77777777" w:rsidR="00695BF3" w:rsidRDefault="00695BF3" w:rsidP="00695BF3">
      <w:pPr>
        <w:numPr>
          <w:ilvl w:val="0"/>
          <w:numId w:val="2"/>
        </w:numPr>
        <w:spacing w:line="288" w:lineRule="atLeast"/>
        <w:ind w:left="480"/>
        <w:rPr>
          <w:rFonts w:ascii="Arial" w:eastAsia="Times New Roman" w:hAnsi="Arial" w:cs="Arial"/>
          <w:color w:val="000000"/>
        </w:rPr>
      </w:pPr>
      <w:r>
        <w:rPr>
          <w:rFonts w:ascii="Arial" w:eastAsia="Times New Roman" w:hAnsi="Arial" w:cs="Arial"/>
          <w:color w:val="000000"/>
        </w:rPr>
        <w:t>Ensuite parce qu’elles vont nécessiter dans la classe le recours de plus en plus fréquent à un usage spécifique du langage, dans lequel enseignant et élèves prennent prétexte de situations pour développer des compétences à "parler sur…" plutôt que "parler de…". Cet usage scolaire du langage, qui contribue progressivement au processus de "mise en discipline" du monde (ou processus de "</w:t>
      </w:r>
      <w:proofErr w:type="spellStart"/>
      <w:r>
        <w:rPr>
          <w:rFonts w:ascii="Arial" w:eastAsia="Times New Roman" w:hAnsi="Arial" w:cs="Arial"/>
          <w:color w:val="000000"/>
        </w:rPr>
        <w:t>secondarisation</w:t>
      </w:r>
      <w:proofErr w:type="spellEnd"/>
      <w:r>
        <w:rPr>
          <w:rFonts w:ascii="Arial" w:eastAsia="Times New Roman" w:hAnsi="Arial" w:cs="Arial"/>
          <w:color w:val="000000"/>
        </w:rPr>
        <w:t xml:space="preserve">"), qui va permettre de structurer des catégories de situation dans lesquelles on agit en utilisant certaines règles ou procédures, est tout sauf « naturel ». Y faire accéder tous les élèves, même ceux qui se jettent sur les tâches scolaires sans prendre le temps du recul, ou sont très dépendants de l’aide de l’enseignant pour la réalisation de la tâche, est un défi. (Un texte incontournable sur ce point : É. </w:t>
      </w:r>
      <w:proofErr w:type="spellStart"/>
      <w:r>
        <w:rPr>
          <w:rFonts w:ascii="Arial" w:eastAsia="Times New Roman" w:hAnsi="Arial" w:cs="Arial"/>
          <w:color w:val="000000"/>
        </w:rPr>
        <w:t>Bautier</w:t>
      </w:r>
      <w:proofErr w:type="spellEnd"/>
      <w:r>
        <w:rPr>
          <w:rFonts w:ascii="Arial" w:eastAsia="Times New Roman" w:hAnsi="Arial" w:cs="Arial"/>
          <w:color w:val="000000"/>
        </w:rPr>
        <w:t xml:space="preserve">, R. </w:t>
      </w:r>
      <w:proofErr w:type="spellStart"/>
      <w:r>
        <w:rPr>
          <w:rFonts w:ascii="Arial" w:eastAsia="Times New Roman" w:hAnsi="Arial" w:cs="Arial"/>
          <w:color w:val="000000"/>
        </w:rPr>
        <w:t>Goigoux</w:t>
      </w:r>
      <w:proofErr w:type="spellEnd"/>
      <w:r>
        <w:rPr>
          <w:rFonts w:ascii="Arial" w:eastAsia="Times New Roman" w:hAnsi="Arial" w:cs="Arial"/>
          <w:color w:val="000000"/>
        </w:rPr>
        <w:t>,</w:t>
      </w:r>
      <w:r>
        <w:rPr>
          <w:rStyle w:val="apple-converted-space"/>
          <w:rFonts w:ascii="Arial" w:eastAsia="Times New Roman" w:hAnsi="Arial" w:cs="Arial"/>
          <w:color w:val="000000"/>
        </w:rPr>
        <w:t> </w:t>
      </w:r>
      <w:hyperlink r:id="rId8" w:history="1">
        <w:r>
          <w:rPr>
            <w:rStyle w:val="Lienhypertexte"/>
            <w:rFonts w:ascii="Arial" w:eastAsia="Times New Roman" w:hAnsi="Arial" w:cs="Arial"/>
            <w:color w:val="009DE0"/>
            <w:bdr w:val="none" w:sz="0" w:space="0" w:color="auto" w:frame="1"/>
          </w:rPr>
          <w:t xml:space="preserve">« Difficultés d’apprentissage, processus de </w:t>
        </w:r>
        <w:proofErr w:type="spellStart"/>
        <w:r>
          <w:rPr>
            <w:rStyle w:val="Lienhypertexte"/>
            <w:rFonts w:ascii="Arial" w:eastAsia="Times New Roman" w:hAnsi="Arial" w:cs="Arial"/>
            <w:color w:val="009DE0"/>
            <w:bdr w:val="none" w:sz="0" w:space="0" w:color="auto" w:frame="1"/>
          </w:rPr>
          <w:t>secondarisation</w:t>
        </w:r>
        <w:proofErr w:type="spellEnd"/>
        <w:r>
          <w:rPr>
            <w:rStyle w:val="Lienhypertexte"/>
            <w:rFonts w:ascii="Arial" w:eastAsia="Times New Roman" w:hAnsi="Arial" w:cs="Arial"/>
            <w:color w:val="009DE0"/>
            <w:bdr w:val="none" w:sz="0" w:space="0" w:color="auto" w:frame="1"/>
          </w:rPr>
          <w:t xml:space="preserve"> et pratiques enseignantes : une hypothèse relationnelle »</w:t>
        </w:r>
      </w:hyperlink>
      <w:r>
        <w:rPr>
          <w:rFonts w:ascii="Arial" w:eastAsia="Times New Roman" w:hAnsi="Arial" w:cs="Arial"/>
          <w:color w:val="000000"/>
        </w:rPr>
        <w:t>,</w:t>
      </w:r>
      <w:r>
        <w:rPr>
          <w:rStyle w:val="apple-converted-space"/>
          <w:rFonts w:ascii="Arial" w:eastAsia="Times New Roman" w:hAnsi="Arial" w:cs="Arial"/>
          <w:color w:val="000000"/>
        </w:rPr>
        <w:t> </w:t>
      </w:r>
      <w:r>
        <w:rPr>
          <w:rStyle w:val="Accentuation"/>
          <w:rFonts w:ascii="Arial" w:eastAsia="Times New Roman" w:hAnsi="Arial" w:cs="Arial"/>
          <w:color w:val="000000"/>
        </w:rPr>
        <w:t>Revue Française de Pédagogie</w:t>
      </w:r>
      <w:r>
        <w:rPr>
          <w:rStyle w:val="apple-converted-space"/>
          <w:rFonts w:ascii="Arial" w:eastAsia="Times New Roman" w:hAnsi="Arial" w:cs="Arial"/>
          <w:color w:val="000000"/>
        </w:rPr>
        <w:t> </w:t>
      </w:r>
      <w:r>
        <w:rPr>
          <w:rFonts w:ascii="Arial" w:eastAsia="Times New Roman" w:hAnsi="Arial" w:cs="Arial"/>
          <w:color w:val="000000"/>
        </w:rPr>
        <w:t>n° 148, Juillet-Août-Septembre 2004 p93.)</w:t>
      </w:r>
    </w:p>
    <w:p w14:paraId="7CE4134C" w14:textId="77777777" w:rsidR="00695BF3" w:rsidRDefault="00695BF3" w:rsidP="00695BF3">
      <w:pPr>
        <w:pStyle w:val="NormalWeb"/>
        <w:spacing w:before="0" w:beforeAutospacing="0" w:after="0" w:afterAutospacing="0"/>
        <w:jc w:val="both"/>
        <w:rPr>
          <w:rFonts w:ascii="Arial" w:hAnsi="Arial" w:cs="Arial"/>
          <w:color w:val="000000"/>
          <w:sz w:val="24"/>
          <w:szCs w:val="24"/>
        </w:rPr>
      </w:pPr>
      <w:r>
        <w:rPr>
          <w:rFonts w:ascii="Arial" w:hAnsi="Arial" w:cs="Arial"/>
          <w:color w:val="000000"/>
          <w:sz w:val="24"/>
          <w:szCs w:val="24"/>
        </w:rPr>
        <w:t>Comme l’explique</w:t>
      </w:r>
      <w:r>
        <w:rPr>
          <w:rStyle w:val="apple-converted-space"/>
          <w:rFonts w:ascii="Arial" w:hAnsi="Arial" w:cs="Arial"/>
          <w:color w:val="000000"/>
          <w:sz w:val="24"/>
          <w:szCs w:val="24"/>
        </w:rPr>
        <w:t> </w:t>
      </w:r>
      <w:hyperlink r:id="rId9" w:anchor="1" w:tooltip="Enseigner Explicitement : Pourquoi ? Qui ? Quand ? Quoi ? Où ?" w:history="1">
        <w:r>
          <w:rPr>
            <w:rStyle w:val="Lienhypertexte"/>
            <w:rFonts w:ascii="Arial" w:hAnsi="Arial" w:cs="Arial"/>
            <w:sz w:val="24"/>
            <w:szCs w:val="24"/>
            <w:bdr w:val="none" w:sz="0" w:space="0" w:color="auto" w:frame="1"/>
          </w:rPr>
          <w:t xml:space="preserve">Patrick </w:t>
        </w:r>
        <w:proofErr w:type="spellStart"/>
        <w:r>
          <w:rPr>
            <w:rStyle w:val="Lienhypertexte"/>
            <w:rFonts w:ascii="Arial" w:hAnsi="Arial" w:cs="Arial"/>
            <w:sz w:val="24"/>
            <w:szCs w:val="24"/>
            <w:bdr w:val="none" w:sz="0" w:space="0" w:color="auto" w:frame="1"/>
          </w:rPr>
          <w:t>Rayou</w:t>
        </w:r>
        <w:proofErr w:type="spellEnd"/>
      </w:hyperlink>
      <w:r>
        <w:rPr>
          <w:rStyle w:val="apple-converted-space"/>
          <w:rFonts w:ascii="Arial" w:hAnsi="Arial" w:cs="Arial"/>
          <w:color w:val="000000"/>
          <w:sz w:val="24"/>
          <w:szCs w:val="24"/>
        </w:rPr>
        <w:t> </w:t>
      </w:r>
      <w:r>
        <w:rPr>
          <w:rFonts w:ascii="Arial" w:hAnsi="Arial" w:cs="Arial"/>
          <w:color w:val="000000"/>
          <w:sz w:val="24"/>
          <w:szCs w:val="24"/>
        </w:rPr>
        <w:t>(vidéo),</w:t>
      </w:r>
      <w:r>
        <w:rPr>
          <w:rStyle w:val="apple-converted-space"/>
          <w:rFonts w:ascii="Arial" w:hAnsi="Arial" w:cs="Arial"/>
          <w:color w:val="000000"/>
          <w:sz w:val="24"/>
          <w:szCs w:val="24"/>
        </w:rPr>
        <w:t> </w:t>
      </w:r>
      <w:r>
        <w:rPr>
          <w:rStyle w:val="Accentuation"/>
          <w:rFonts w:ascii="Arial" w:hAnsi="Arial" w:cs="Arial"/>
          <w:color w:val="000000"/>
          <w:sz w:val="24"/>
          <w:szCs w:val="24"/>
        </w:rPr>
        <w:t>« tout ce travail de transformation, qui nous parait naturel, est un travail qui n’est pas du tout évident pour les élèves, et d’autant moins évident qu’ils sont dans des logiques sociales qui ne sont pas des logiques cognitives et que souvent ces deux logiques vont entrer en conflagration. La question de l’explicitation qui va bien au-delà de la simple explicitation des consignes qui rendraient la tâche réalisable par chacun : "tout expliciter" est tout à fait impossible : l’enseignant ne peut expliciter à l’infini. Selon la cible de l’apprentissage, l’explicitation peut même tuer l’apprentissage.</w:t>
      </w:r>
      <w:r>
        <w:rPr>
          <w:rStyle w:val="Accentuation"/>
          <w:rFonts w:ascii="Arial" w:hAnsi="Arial" w:cs="Arial"/>
          <w:color w:val="000000"/>
          <w:sz w:val="18"/>
          <w:szCs w:val="18"/>
        </w:rPr>
        <w:t> » </w:t>
      </w:r>
    </w:p>
    <w:p w14:paraId="54C54591" w14:textId="77777777" w:rsidR="00695BF3" w:rsidRDefault="00695BF3" w:rsidP="00695BF3">
      <w:pPr>
        <w:pStyle w:val="NormalWeb"/>
        <w:spacing w:before="0" w:beforeAutospacing="0" w:after="240" w:afterAutospacing="0"/>
        <w:jc w:val="both"/>
        <w:rPr>
          <w:rFonts w:ascii="Arial" w:hAnsi="Arial" w:cs="Arial"/>
          <w:color w:val="000000"/>
          <w:sz w:val="24"/>
          <w:szCs w:val="24"/>
        </w:rPr>
      </w:pPr>
      <w:r>
        <w:rPr>
          <w:rFonts w:ascii="Arial" w:hAnsi="Arial" w:cs="Arial"/>
          <w:color w:val="000000"/>
          <w:sz w:val="24"/>
          <w:szCs w:val="24"/>
        </w:rPr>
        <w:t>Enseigner plus explicitement est donc un processus qui se joue à plusieurs niveaux : qui explicite quoi à qui, quand et comment ? </w:t>
      </w:r>
    </w:p>
    <w:p w14:paraId="2F0AA85D" w14:textId="77777777" w:rsidR="00695BF3" w:rsidRDefault="00695BF3" w:rsidP="00695BF3">
      <w:pPr>
        <w:numPr>
          <w:ilvl w:val="0"/>
          <w:numId w:val="3"/>
        </w:numPr>
        <w:spacing w:line="288" w:lineRule="atLeast"/>
        <w:ind w:left="480"/>
        <w:rPr>
          <w:rFonts w:ascii="Arial" w:eastAsia="Times New Roman" w:hAnsi="Arial" w:cs="Arial"/>
          <w:color w:val="000000"/>
        </w:rPr>
      </w:pPr>
      <w:r>
        <w:rPr>
          <w:rStyle w:val="lev"/>
          <w:rFonts w:ascii="Arial" w:eastAsia="Times New Roman" w:hAnsi="Arial" w:cs="Arial"/>
          <w:color w:val="000000"/>
        </w:rPr>
        <w:t>L’enseignant explicite aux élèves :</w:t>
      </w:r>
      <w:r>
        <w:rPr>
          <w:rStyle w:val="apple-converted-space"/>
          <w:rFonts w:ascii="Arial" w:eastAsia="Times New Roman" w:hAnsi="Arial" w:cs="Arial"/>
          <w:color w:val="000000"/>
        </w:rPr>
        <w:t> </w:t>
      </w:r>
      <w:r>
        <w:rPr>
          <w:rFonts w:ascii="Arial" w:eastAsia="Times New Roman" w:hAnsi="Arial" w:cs="Arial"/>
          <w:color w:val="000000"/>
        </w:rPr>
        <w:t>entre discours et situations, l’enseignant explicite les apprentissages visés (pourquoi), les tâches, les procédures et les stratégies (comment) et les apprentissages réalisés (institutionnalisation) selon une scénarisation didactique et pédagogique anticipée, ajustable au fil du déroulement des activités et réactions des élèves. On parlera alors de clarté cognitive.</w:t>
      </w:r>
    </w:p>
    <w:p w14:paraId="46E9C5B6" w14:textId="77777777" w:rsidR="00695BF3" w:rsidRDefault="00695BF3" w:rsidP="00695BF3">
      <w:pPr>
        <w:numPr>
          <w:ilvl w:val="0"/>
          <w:numId w:val="3"/>
        </w:numPr>
        <w:spacing w:line="288" w:lineRule="atLeast"/>
        <w:ind w:left="480"/>
        <w:rPr>
          <w:rFonts w:ascii="Arial" w:eastAsia="Times New Roman" w:hAnsi="Arial" w:cs="Arial"/>
          <w:color w:val="000000"/>
        </w:rPr>
      </w:pPr>
      <w:r>
        <w:rPr>
          <w:rStyle w:val="lev"/>
          <w:rFonts w:ascii="Arial" w:eastAsia="Times New Roman" w:hAnsi="Arial" w:cs="Arial"/>
          <w:color w:val="000000"/>
        </w:rPr>
        <w:t>L’élève s’explicite à lui-même et explique à l’enseignant :</w:t>
      </w:r>
      <w:r>
        <w:rPr>
          <w:rStyle w:val="apple-converted-space"/>
          <w:rFonts w:ascii="Arial" w:eastAsia="Times New Roman" w:hAnsi="Arial" w:cs="Arial"/>
          <w:color w:val="000000"/>
        </w:rPr>
        <w:t> </w:t>
      </w:r>
      <w:r>
        <w:rPr>
          <w:rStyle w:val="Accentuation"/>
          <w:rFonts w:ascii="Arial" w:eastAsia="Times New Roman" w:hAnsi="Arial" w:cs="Arial"/>
          <w:color w:val="000000"/>
        </w:rPr>
        <w:t>« Comment fais-tu ? »</w:t>
      </w:r>
      <w:r>
        <w:rPr>
          <w:rStyle w:val="apple-converted-space"/>
          <w:rFonts w:ascii="Arial" w:eastAsia="Times New Roman" w:hAnsi="Arial" w:cs="Arial"/>
          <w:color w:val="000000"/>
        </w:rPr>
        <w:t> </w:t>
      </w:r>
      <w:r>
        <w:rPr>
          <w:rFonts w:ascii="Arial" w:eastAsia="Times New Roman" w:hAnsi="Arial" w:cs="Arial"/>
          <w:color w:val="000000"/>
        </w:rPr>
        <w:t xml:space="preserve">Cette simple question posée à l’élève par l’enseignant favorise une conscientisation de ses processus intellectuels et l’encourage à une activité mentale qui favorise le développement d’une capacité réflexive et ce dès le plus jeune âge. Pour ce faire l’élève a besoin de compétences langagières qui doivent être enseignées (É. </w:t>
      </w:r>
      <w:proofErr w:type="spellStart"/>
      <w:r>
        <w:rPr>
          <w:rFonts w:ascii="Arial" w:eastAsia="Times New Roman" w:hAnsi="Arial" w:cs="Arial"/>
          <w:color w:val="000000"/>
        </w:rPr>
        <w:t>Bautier</w:t>
      </w:r>
      <w:proofErr w:type="spellEnd"/>
      <w:r>
        <w:rPr>
          <w:rFonts w:ascii="Arial" w:eastAsia="Times New Roman" w:hAnsi="Arial" w:cs="Arial"/>
          <w:color w:val="000000"/>
        </w:rPr>
        <w:t xml:space="preserve">, R. </w:t>
      </w:r>
      <w:proofErr w:type="spellStart"/>
      <w:r>
        <w:rPr>
          <w:rFonts w:ascii="Arial" w:eastAsia="Times New Roman" w:hAnsi="Arial" w:cs="Arial"/>
          <w:color w:val="000000"/>
        </w:rPr>
        <w:t>Goigoux</w:t>
      </w:r>
      <w:proofErr w:type="spellEnd"/>
      <w:r>
        <w:rPr>
          <w:rFonts w:ascii="Arial" w:eastAsia="Times New Roman" w:hAnsi="Arial" w:cs="Arial"/>
          <w:color w:val="000000"/>
        </w:rPr>
        <w:t>,</w:t>
      </w:r>
      <w:r>
        <w:rPr>
          <w:rStyle w:val="apple-converted-space"/>
          <w:rFonts w:ascii="Arial" w:eastAsia="Times New Roman" w:hAnsi="Arial" w:cs="Arial"/>
          <w:color w:val="000000"/>
        </w:rPr>
        <w:t> </w:t>
      </w:r>
      <w:r>
        <w:rPr>
          <w:rStyle w:val="Accentuation"/>
          <w:rFonts w:ascii="Arial" w:eastAsia="Times New Roman" w:hAnsi="Arial" w:cs="Arial"/>
          <w:color w:val="000000"/>
        </w:rPr>
        <w:t>ibid.</w:t>
      </w:r>
      <w:r>
        <w:rPr>
          <w:rFonts w:ascii="Arial" w:eastAsia="Times New Roman" w:hAnsi="Arial" w:cs="Arial"/>
          <w:color w:val="000000"/>
        </w:rPr>
        <w:t>). Les nouveaux programmes demandent régulièrement à l’élève d’expliquer à l’enseignant autant que de s’expliquer à lui-même sa démarche intellectuelle.</w:t>
      </w:r>
      <w:r>
        <w:rPr>
          <w:rStyle w:val="apple-converted-space"/>
          <w:rFonts w:ascii="Arial" w:eastAsia="Times New Roman" w:hAnsi="Arial" w:cs="Arial"/>
          <w:color w:val="000000"/>
        </w:rPr>
        <w:t> </w:t>
      </w:r>
      <w:hyperlink r:id="rId10" w:anchor="2" w:tooltip="Enseigner Explicitement : Pourquoi ? Qui ? Quand ? Quoi ? Où ?" w:history="1">
        <w:r>
          <w:rPr>
            <w:rStyle w:val="Lienhypertexte"/>
            <w:rFonts w:ascii="Arial" w:eastAsia="Times New Roman" w:hAnsi="Arial" w:cs="Arial"/>
            <w:color w:val="009DE0"/>
            <w:bdr w:val="none" w:sz="0" w:space="0" w:color="auto" w:frame="1"/>
          </w:rPr>
          <w:t xml:space="preserve">Sylvie </w:t>
        </w:r>
        <w:proofErr w:type="spellStart"/>
        <w:r>
          <w:rPr>
            <w:rStyle w:val="Lienhypertexte"/>
            <w:rFonts w:ascii="Arial" w:eastAsia="Times New Roman" w:hAnsi="Arial" w:cs="Arial"/>
            <w:color w:val="009DE0"/>
            <w:bdr w:val="none" w:sz="0" w:space="0" w:color="auto" w:frame="1"/>
          </w:rPr>
          <w:t>Cèbe</w:t>
        </w:r>
        <w:proofErr w:type="spellEnd"/>
      </w:hyperlink>
      <w:r>
        <w:rPr>
          <w:rStyle w:val="apple-converted-space"/>
          <w:rFonts w:ascii="Arial" w:eastAsia="Times New Roman" w:hAnsi="Arial" w:cs="Arial"/>
          <w:color w:val="000000"/>
        </w:rPr>
        <w:t> </w:t>
      </w:r>
      <w:r>
        <w:rPr>
          <w:rFonts w:ascii="Arial" w:eastAsia="Times New Roman" w:hAnsi="Arial" w:cs="Arial"/>
          <w:color w:val="000000"/>
        </w:rPr>
        <w:t xml:space="preserve">(vidéo) précise qu’il lui semble utile d’expliciter </w:t>
      </w:r>
      <w:r>
        <w:rPr>
          <w:rFonts w:ascii="Arial" w:eastAsia="Times New Roman" w:hAnsi="Arial" w:cs="Arial"/>
          <w:color w:val="000000"/>
        </w:rPr>
        <w:lastRenderedPageBreak/>
        <w:t>pendant l’activité :</w:t>
      </w:r>
      <w:r>
        <w:rPr>
          <w:rStyle w:val="apple-converted-space"/>
          <w:rFonts w:ascii="Arial" w:eastAsia="Times New Roman" w:hAnsi="Arial" w:cs="Arial"/>
          <w:color w:val="000000"/>
        </w:rPr>
        <w:t> </w:t>
      </w:r>
      <w:r>
        <w:rPr>
          <w:rStyle w:val="Accentuation"/>
          <w:rFonts w:ascii="Arial" w:eastAsia="Times New Roman" w:hAnsi="Arial" w:cs="Arial"/>
          <w:color w:val="000000"/>
        </w:rPr>
        <w:t>« il est important que les élèves soient conscients que l’explicitation des procédures rend leurs activités bien plus efficaces et que du coup ces procédures conscientisées sont transférables »</w:t>
      </w:r>
      <w:r>
        <w:rPr>
          <w:rFonts w:ascii="Arial" w:eastAsia="Times New Roman" w:hAnsi="Arial" w:cs="Arial"/>
          <w:color w:val="000000"/>
        </w:rPr>
        <w:t>.</w:t>
      </w:r>
    </w:p>
    <w:p w14:paraId="1152AD5D" w14:textId="77777777" w:rsidR="00695BF3" w:rsidRDefault="00695BF3" w:rsidP="00695BF3">
      <w:pPr>
        <w:numPr>
          <w:ilvl w:val="0"/>
          <w:numId w:val="3"/>
        </w:numPr>
        <w:spacing w:line="288" w:lineRule="atLeast"/>
        <w:ind w:left="480"/>
        <w:rPr>
          <w:rFonts w:ascii="Arial" w:eastAsia="Times New Roman" w:hAnsi="Arial" w:cs="Arial"/>
          <w:color w:val="000000"/>
        </w:rPr>
      </w:pPr>
      <w:r>
        <w:rPr>
          <w:rStyle w:val="lev"/>
          <w:rFonts w:ascii="Arial" w:eastAsia="Times New Roman" w:hAnsi="Arial" w:cs="Arial"/>
          <w:color w:val="000000"/>
        </w:rPr>
        <w:t>Les élèves s’explicitent entre eux :</w:t>
      </w:r>
      <w:r>
        <w:rPr>
          <w:rStyle w:val="apple-converted-space"/>
          <w:rFonts w:ascii="Arial" w:eastAsia="Times New Roman" w:hAnsi="Arial" w:cs="Arial"/>
          <w:color w:val="000000"/>
        </w:rPr>
        <w:t> </w:t>
      </w:r>
      <w:r>
        <w:rPr>
          <w:rFonts w:ascii="Arial" w:eastAsia="Times New Roman" w:hAnsi="Arial" w:cs="Arial"/>
          <w:color w:val="000000"/>
        </w:rPr>
        <w:t>c’est au maitre que revient l’organisation des conditions de l’explicitation des processus intellectuels de métacognition. De telles pratiques, lorsqu’elles existent, sont souvent intégrées dans les organisations ordinaires de classe et initiées par des questionnements du type</w:t>
      </w:r>
      <w:r>
        <w:rPr>
          <w:rStyle w:val="apple-converted-space"/>
          <w:rFonts w:ascii="Arial" w:eastAsia="Times New Roman" w:hAnsi="Arial" w:cs="Arial"/>
          <w:color w:val="000000"/>
        </w:rPr>
        <w:t> </w:t>
      </w:r>
      <w:r>
        <w:rPr>
          <w:rStyle w:val="Accentuation"/>
          <w:rFonts w:ascii="Arial" w:eastAsia="Times New Roman" w:hAnsi="Arial" w:cs="Arial"/>
          <w:color w:val="000000"/>
        </w:rPr>
        <w:t>« comment faites-vous pour... ? »</w:t>
      </w:r>
      <w:r>
        <w:rPr>
          <w:rFonts w:ascii="Arial" w:eastAsia="Times New Roman" w:hAnsi="Arial" w:cs="Arial"/>
          <w:color w:val="000000"/>
        </w:rPr>
        <w:t>.</w:t>
      </w:r>
      <w:r>
        <w:rPr>
          <w:rStyle w:val="apple-converted-space"/>
          <w:rFonts w:ascii="Arial" w:eastAsia="Times New Roman" w:hAnsi="Arial" w:cs="Arial"/>
          <w:color w:val="000000"/>
        </w:rPr>
        <w:t> </w:t>
      </w:r>
      <w:hyperlink r:id="rId11" w:anchor="4" w:tooltip="Enseigner Explicitement : Pourquoi ? Qui ? Quand ? Quoi ? Où ?" w:history="1">
        <w:r>
          <w:rPr>
            <w:rStyle w:val="Lienhypertexte"/>
            <w:rFonts w:ascii="Arial" w:eastAsia="Times New Roman" w:hAnsi="Arial" w:cs="Arial"/>
            <w:color w:val="009DE0"/>
            <w:bdr w:val="none" w:sz="0" w:space="0" w:color="auto" w:frame="1"/>
          </w:rPr>
          <w:t>Jacques Bernardin</w:t>
        </w:r>
      </w:hyperlink>
      <w:r>
        <w:rPr>
          <w:rStyle w:val="apple-converted-space"/>
          <w:rFonts w:ascii="Arial" w:eastAsia="Times New Roman" w:hAnsi="Arial" w:cs="Arial"/>
          <w:color w:val="000000"/>
        </w:rPr>
        <w:t> </w:t>
      </w:r>
      <w:r>
        <w:rPr>
          <w:rFonts w:ascii="Arial" w:eastAsia="Times New Roman" w:hAnsi="Arial" w:cs="Arial"/>
          <w:color w:val="000000"/>
        </w:rPr>
        <w:t>(vidéo) fait le constat que la capacité réflexive s’entraîne chez les élèves dès le plus jeune âge. Lorsque les élèves explicitent à voix haute la manière dont ils s’y prennent pour mémoriser l’orthographe du mot "longtemps", l’explication va bénéficier à celui qui explique, du fait qu’il conscientise sa démarche en la mettant en mots. Pour les autres élèves, le dévoilement des « façons de faire » des autres peut permettre d’engranger pour eux-mêmes lors qu’une nouvelle tâche similaire, dès lors que l’élève en percevra les similarités, bien évidemment.</w:t>
      </w:r>
    </w:p>
    <w:p w14:paraId="2BD17EE3" w14:textId="77777777" w:rsidR="00695BF3" w:rsidRDefault="00695BF3" w:rsidP="00695BF3">
      <w:pPr>
        <w:pStyle w:val="Titre2"/>
        <w:pBdr>
          <w:left w:val="single" w:sz="18" w:space="8" w:color="009DE0"/>
        </w:pBdr>
        <w:spacing w:before="240" w:after="72" w:line="240" w:lineRule="atLeast"/>
        <w:rPr>
          <w:rFonts w:ascii="Arial" w:eastAsia="Times New Roman" w:hAnsi="Arial" w:cs="Arial"/>
          <w:b w:val="0"/>
          <w:bCs w:val="0"/>
          <w:color w:val="000000"/>
          <w:spacing w:val="7"/>
          <w:sz w:val="34"/>
          <w:szCs w:val="34"/>
        </w:rPr>
      </w:pPr>
      <w:bookmarkStart w:id="1" w:name="section-3"/>
      <w:bookmarkEnd w:id="1"/>
      <w:r>
        <w:rPr>
          <w:rFonts w:ascii="Arial" w:eastAsia="Times New Roman" w:hAnsi="Arial" w:cs="Arial"/>
          <w:b w:val="0"/>
          <w:bCs w:val="0"/>
          <w:color w:val="000000"/>
          <w:spacing w:val="7"/>
          <w:sz w:val="34"/>
          <w:szCs w:val="34"/>
        </w:rPr>
        <w:t>En résumé</w:t>
      </w:r>
    </w:p>
    <w:p w14:paraId="1EFD837D" w14:textId="77777777" w:rsidR="00695BF3" w:rsidRDefault="00695BF3" w:rsidP="00695BF3">
      <w:pPr>
        <w:pStyle w:val="NormalWeb"/>
        <w:spacing w:before="0" w:beforeAutospacing="0" w:after="240" w:afterAutospacing="0"/>
        <w:jc w:val="both"/>
        <w:rPr>
          <w:rFonts w:ascii="Arial" w:hAnsi="Arial" w:cs="Arial"/>
          <w:color w:val="000000"/>
          <w:sz w:val="24"/>
          <w:szCs w:val="24"/>
        </w:rPr>
      </w:pPr>
      <w:r>
        <w:rPr>
          <w:rFonts w:ascii="Arial" w:hAnsi="Arial" w:cs="Arial"/>
          <w:color w:val="000000"/>
          <w:sz w:val="24"/>
          <w:szCs w:val="24"/>
        </w:rPr>
        <w:t xml:space="preserve">Enseigner plus explicitement contribuerait à lever des malentendus sociocognitifs. </w:t>
      </w:r>
      <w:r w:rsidRPr="00757444">
        <w:rPr>
          <w:rFonts w:ascii="Arial" w:hAnsi="Arial" w:cs="Arial"/>
          <w:b/>
          <w:color w:val="FF0000"/>
          <w:sz w:val="24"/>
          <w:szCs w:val="24"/>
        </w:rPr>
        <w:t>L’explicitation en parole ne suffit pas, enseigner plus explicitement ne passe pas seulement par le discours, par le dire, en ce sens il se différencie de l’explicatio</w:t>
      </w:r>
      <w:r w:rsidRPr="004973F0">
        <w:rPr>
          <w:rFonts w:ascii="Arial" w:hAnsi="Arial" w:cs="Arial"/>
          <w:color w:val="FF0000"/>
          <w:sz w:val="24"/>
          <w:szCs w:val="24"/>
        </w:rPr>
        <w:t>n</w:t>
      </w:r>
      <w:r>
        <w:rPr>
          <w:rFonts w:ascii="Arial" w:hAnsi="Arial" w:cs="Arial"/>
          <w:color w:val="000000"/>
          <w:sz w:val="24"/>
          <w:szCs w:val="24"/>
        </w:rPr>
        <w:t xml:space="preserve">. Enseigner plus explicitement est un processus qui se joue à plusieurs niveaux, dans le but de permettre aux élèves d’accéder </w:t>
      </w:r>
      <w:r w:rsidRPr="00757444">
        <w:rPr>
          <w:rFonts w:ascii="Arial" w:hAnsi="Arial" w:cs="Arial"/>
          <w:b/>
          <w:color w:val="5F497A" w:themeColor="accent4" w:themeShade="BF"/>
          <w:sz w:val="24"/>
          <w:szCs w:val="24"/>
        </w:rPr>
        <w:t>par le langage aux manières de résoudre les tâches scolaires, aux catégorisations de situations et à la mise en discipline progressive des savoirs.</w:t>
      </w:r>
    </w:p>
    <w:tbl>
      <w:tblPr>
        <w:tblW w:w="0" w:type="auto"/>
        <w:tblInd w:w="-140" w:type="dxa"/>
        <w:tblCellMar>
          <w:left w:w="0" w:type="dxa"/>
          <w:right w:w="0" w:type="dxa"/>
        </w:tblCellMar>
        <w:tblLook w:val="04A0" w:firstRow="1" w:lastRow="0" w:firstColumn="1" w:lastColumn="0" w:noHBand="0" w:noVBand="1"/>
      </w:tblPr>
      <w:tblGrid>
        <w:gridCol w:w="2851"/>
        <w:gridCol w:w="4891"/>
        <w:gridCol w:w="3933"/>
        <w:gridCol w:w="3778"/>
      </w:tblGrid>
      <w:tr w:rsidR="00695BF3" w:rsidRPr="004973F0" w14:paraId="5D2A4A15" w14:textId="77777777" w:rsidTr="004973F0">
        <w:tc>
          <w:tcPr>
            <w:tcW w:w="2851" w:type="dxa"/>
            <w:tcBorders>
              <w:bottom w:val="single" w:sz="6" w:space="0" w:color="8FB2E6"/>
            </w:tcBorders>
            <w:shd w:val="clear" w:color="auto" w:fill="auto"/>
            <w:tcMar>
              <w:top w:w="144" w:type="dxa"/>
              <w:left w:w="144" w:type="dxa"/>
              <w:bottom w:w="144" w:type="dxa"/>
              <w:right w:w="144" w:type="dxa"/>
            </w:tcMar>
            <w:hideMark/>
          </w:tcPr>
          <w:p w14:paraId="7EAA0EA6" w14:textId="77777777" w:rsidR="00695BF3" w:rsidRPr="004973F0" w:rsidRDefault="00695BF3" w:rsidP="00B36782">
            <w:pPr>
              <w:jc w:val="center"/>
              <w:rPr>
                <w:rFonts w:ascii="Arial" w:eastAsia="Times New Roman" w:hAnsi="Arial" w:cs="Arial"/>
                <w:b/>
                <w:bCs/>
              </w:rPr>
            </w:pPr>
            <w:r w:rsidRPr="004973F0">
              <w:rPr>
                <w:rFonts w:ascii="Arial" w:eastAsia="Times New Roman" w:hAnsi="Arial" w:cs="Arial"/>
                <w:b/>
                <w:bCs/>
              </w:rPr>
              <w:t>Qui ? Avec Qui ?</w:t>
            </w:r>
          </w:p>
        </w:tc>
        <w:tc>
          <w:tcPr>
            <w:tcW w:w="0" w:type="auto"/>
            <w:tcBorders>
              <w:bottom w:val="single" w:sz="6" w:space="0" w:color="8FB2E6"/>
            </w:tcBorders>
            <w:shd w:val="clear" w:color="auto" w:fill="auto"/>
            <w:tcMar>
              <w:top w:w="144" w:type="dxa"/>
              <w:left w:w="144" w:type="dxa"/>
              <w:bottom w:w="144" w:type="dxa"/>
              <w:right w:w="144" w:type="dxa"/>
            </w:tcMar>
            <w:hideMark/>
          </w:tcPr>
          <w:p w14:paraId="5D00F801" w14:textId="77777777" w:rsidR="00695BF3" w:rsidRPr="004973F0" w:rsidRDefault="00695BF3" w:rsidP="00B36782">
            <w:pPr>
              <w:jc w:val="center"/>
              <w:rPr>
                <w:rFonts w:ascii="Arial" w:eastAsia="Times New Roman" w:hAnsi="Arial" w:cs="Arial"/>
                <w:b/>
                <w:bCs/>
              </w:rPr>
            </w:pPr>
            <w:r w:rsidRPr="004973F0">
              <w:rPr>
                <w:rFonts w:ascii="Arial" w:eastAsia="Times New Roman" w:hAnsi="Arial" w:cs="Arial"/>
                <w:b/>
                <w:bCs/>
              </w:rPr>
              <w:t>Quoi ?</w:t>
            </w:r>
          </w:p>
        </w:tc>
        <w:tc>
          <w:tcPr>
            <w:tcW w:w="0" w:type="auto"/>
            <w:tcBorders>
              <w:bottom w:val="single" w:sz="6" w:space="0" w:color="8FB2E6"/>
            </w:tcBorders>
            <w:shd w:val="clear" w:color="auto" w:fill="auto"/>
            <w:tcMar>
              <w:top w:w="144" w:type="dxa"/>
              <w:left w:w="144" w:type="dxa"/>
              <w:bottom w:w="144" w:type="dxa"/>
              <w:right w:w="144" w:type="dxa"/>
            </w:tcMar>
            <w:hideMark/>
          </w:tcPr>
          <w:p w14:paraId="09372864" w14:textId="77777777" w:rsidR="00695BF3" w:rsidRPr="004973F0" w:rsidRDefault="00695BF3" w:rsidP="00B36782">
            <w:pPr>
              <w:jc w:val="center"/>
              <w:rPr>
                <w:rFonts w:ascii="Arial" w:eastAsia="Times New Roman" w:hAnsi="Arial" w:cs="Arial"/>
                <w:b/>
                <w:bCs/>
              </w:rPr>
            </w:pPr>
            <w:r w:rsidRPr="004973F0">
              <w:rPr>
                <w:rFonts w:ascii="Arial" w:eastAsia="Times New Roman" w:hAnsi="Arial" w:cs="Arial"/>
                <w:b/>
                <w:bCs/>
              </w:rPr>
              <w:t>Quand ?</w:t>
            </w:r>
          </w:p>
        </w:tc>
        <w:tc>
          <w:tcPr>
            <w:tcW w:w="0" w:type="auto"/>
            <w:tcBorders>
              <w:bottom w:val="single" w:sz="6" w:space="0" w:color="8FB2E6"/>
            </w:tcBorders>
            <w:shd w:val="clear" w:color="auto" w:fill="auto"/>
            <w:tcMar>
              <w:top w:w="144" w:type="dxa"/>
              <w:left w:w="144" w:type="dxa"/>
              <w:bottom w:w="144" w:type="dxa"/>
              <w:right w:w="144" w:type="dxa"/>
            </w:tcMar>
            <w:hideMark/>
          </w:tcPr>
          <w:p w14:paraId="241538A1" w14:textId="77777777" w:rsidR="00695BF3" w:rsidRPr="004973F0" w:rsidRDefault="00695BF3" w:rsidP="00B36782">
            <w:pPr>
              <w:jc w:val="center"/>
              <w:rPr>
                <w:rFonts w:ascii="Arial" w:eastAsia="Times New Roman" w:hAnsi="Arial" w:cs="Arial"/>
                <w:b/>
                <w:bCs/>
              </w:rPr>
            </w:pPr>
            <w:r w:rsidRPr="004973F0">
              <w:rPr>
                <w:rFonts w:ascii="Arial" w:eastAsia="Times New Roman" w:hAnsi="Arial" w:cs="Arial"/>
                <w:b/>
                <w:bCs/>
              </w:rPr>
              <w:t>Comment ?</w:t>
            </w:r>
          </w:p>
        </w:tc>
      </w:tr>
      <w:tr w:rsidR="00695BF3" w14:paraId="76BCE6FE" w14:textId="77777777" w:rsidTr="004973F0">
        <w:tc>
          <w:tcPr>
            <w:tcW w:w="2851" w:type="dxa"/>
            <w:tcBorders>
              <w:top w:val="single" w:sz="6" w:space="0" w:color="8FB2E6"/>
              <w:left w:val="single" w:sz="6" w:space="0" w:color="8FB2E6"/>
              <w:bottom w:val="single" w:sz="6" w:space="0" w:color="8FB2E6"/>
              <w:right w:val="single" w:sz="6" w:space="0" w:color="8FB2E6"/>
            </w:tcBorders>
            <w:shd w:val="clear" w:color="auto" w:fill="auto"/>
            <w:tcMar>
              <w:top w:w="144" w:type="dxa"/>
              <w:left w:w="144" w:type="dxa"/>
              <w:bottom w:w="144" w:type="dxa"/>
              <w:right w:w="144" w:type="dxa"/>
            </w:tcMar>
            <w:hideMark/>
          </w:tcPr>
          <w:p w14:paraId="3A69006A" w14:textId="77777777" w:rsidR="00695BF3" w:rsidRDefault="00695BF3" w:rsidP="00695BF3">
            <w:pPr>
              <w:numPr>
                <w:ilvl w:val="0"/>
                <w:numId w:val="4"/>
              </w:numPr>
              <w:spacing w:line="288" w:lineRule="atLeast"/>
              <w:ind w:left="480"/>
              <w:rPr>
                <w:rFonts w:ascii="Arial" w:eastAsia="Times New Roman" w:hAnsi="Arial" w:cs="Arial"/>
                <w:color w:val="000000"/>
              </w:rPr>
            </w:pPr>
            <w:r>
              <w:rPr>
                <w:rFonts w:ascii="Arial" w:eastAsia="Times New Roman" w:hAnsi="Arial" w:cs="Arial"/>
                <w:color w:val="000000"/>
              </w:rPr>
              <w:t>L’enseignant à lui-même (le métier)</w:t>
            </w:r>
          </w:p>
          <w:p w14:paraId="6941B4DA" w14:textId="77777777" w:rsidR="00695BF3" w:rsidRDefault="00695BF3" w:rsidP="00695BF3">
            <w:pPr>
              <w:numPr>
                <w:ilvl w:val="0"/>
                <w:numId w:val="4"/>
              </w:numPr>
              <w:spacing w:line="288" w:lineRule="atLeast"/>
              <w:ind w:left="480"/>
              <w:rPr>
                <w:rFonts w:ascii="Arial" w:eastAsia="Times New Roman" w:hAnsi="Arial" w:cs="Arial"/>
                <w:color w:val="000000"/>
              </w:rPr>
            </w:pPr>
            <w:r>
              <w:rPr>
                <w:rFonts w:ascii="Arial" w:eastAsia="Times New Roman" w:hAnsi="Arial" w:cs="Arial"/>
                <w:color w:val="000000"/>
              </w:rPr>
              <w:t>L’enseignant aux élèves</w:t>
            </w:r>
          </w:p>
          <w:p w14:paraId="18C400F0" w14:textId="77777777" w:rsidR="00695BF3" w:rsidRDefault="00695BF3" w:rsidP="00695BF3">
            <w:pPr>
              <w:numPr>
                <w:ilvl w:val="0"/>
                <w:numId w:val="4"/>
              </w:numPr>
              <w:spacing w:line="288" w:lineRule="atLeast"/>
              <w:ind w:left="480"/>
              <w:rPr>
                <w:rFonts w:ascii="Arial" w:eastAsia="Times New Roman" w:hAnsi="Arial" w:cs="Arial"/>
                <w:color w:val="000000"/>
              </w:rPr>
            </w:pPr>
            <w:r>
              <w:rPr>
                <w:rFonts w:ascii="Arial" w:eastAsia="Times New Roman" w:hAnsi="Arial" w:cs="Arial"/>
                <w:color w:val="000000"/>
              </w:rPr>
              <w:t>L’élève à lui-même et à l’enseignant</w:t>
            </w:r>
          </w:p>
          <w:p w14:paraId="3264C6B0" w14:textId="77777777" w:rsidR="00695BF3" w:rsidRDefault="00695BF3" w:rsidP="00695BF3">
            <w:pPr>
              <w:numPr>
                <w:ilvl w:val="0"/>
                <w:numId w:val="4"/>
              </w:numPr>
              <w:spacing w:line="288" w:lineRule="atLeast"/>
              <w:ind w:left="480"/>
              <w:rPr>
                <w:rFonts w:ascii="Arial" w:eastAsia="Times New Roman" w:hAnsi="Arial" w:cs="Arial"/>
                <w:color w:val="000000"/>
              </w:rPr>
            </w:pPr>
            <w:r>
              <w:rPr>
                <w:rFonts w:ascii="Arial" w:eastAsia="Times New Roman" w:hAnsi="Arial" w:cs="Arial"/>
                <w:color w:val="000000"/>
              </w:rPr>
              <w:t>L’élève aux autres élèves</w:t>
            </w:r>
          </w:p>
        </w:tc>
        <w:tc>
          <w:tcPr>
            <w:tcW w:w="0" w:type="auto"/>
            <w:tcBorders>
              <w:top w:val="single" w:sz="6" w:space="0" w:color="8FB2E6"/>
              <w:left w:val="single" w:sz="6" w:space="0" w:color="8FB2E6"/>
              <w:bottom w:val="single" w:sz="6" w:space="0" w:color="8FB2E6"/>
              <w:right w:val="single" w:sz="6" w:space="0" w:color="8FB2E6"/>
            </w:tcBorders>
            <w:shd w:val="clear" w:color="auto" w:fill="auto"/>
            <w:tcMar>
              <w:top w:w="144" w:type="dxa"/>
              <w:left w:w="144" w:type="dxa"/>
              <w:bottom w:w="144" w:type="dxa"/>
              <w:right w:w="144" w:type="dxa"/>
            </w:tcMar>
            <w:hideMark/>
          </w:tcPr>
          <w:p w14:paraId="5F271D0F" w14:textId="77777777" w:rsidR="00695BF3" w:rsidRDefault="00695BF3" w:rsidP="00B36782">
            <w:pPr>
              <w:rPr>
                <w:rFonts w:ascii="Arial" w:eastAsia="Times New Roman" w:hAnsi="Arial" w:cs="Arial"/>
                <w:color w:val="000000"/>
              </w:rPr>
            </w:pPr>
            <w:r>
              <w:rPr>
                <w:rFonts w:ascii="Arial" w:eastAsia="Times New Roman" w:hAnsi="Arial" w:cs="Arial"/>
                <w:color w:val="000000"/>
                <w:sz w:val="18"/>
                <w:szCs w:val="18"/>
              </w:rPr>
              <w:t>Un scénario d’enseignement/apprentissages qui comprend : </w:t>
            </w:r>
          </w:p>
          <w:p w14:paraId="7A92C175" w14:textId="77777777" w:rsidR="00695BF3" w:rsidRDefault="00695BF3" w:rsidP="00695BF3">
            <w:pPr>
              <w:numPr>
                <w:ilvl w:val="0"/>
                <w:numId w:val="5"/>
              </w:numPr>
              <w:spacing w:after="60" w:line="288" w:lineRule="atLeast"/>
              <w:ind w:left="480"/>
              <w:rPr>
                <w:rFonts w:ascii="Arial" w:eastAsia="Times New Roman" w:hAnsi="Arial" w:cs="Arial"/>
                <w:color w:val="000000"/>
              </w:rPr>
            </w:pPr>
            <w:r>
              <w:rPr>
                <w:rFonts w:ascii="Arial" w:eastAsia="Times New Roman" w:hAnsi="Arial" w:cs="Arial"/>
                <w:color w:val="000000"/>
              </w:rPr>
              <w:t>Les contenus d’enseignement </w:t>
            </w:r>
          </w:p>
          <w:p w14:paraId="6B148CC1" w14:textId="77777777" w:rsidR="00695BF3" w:rsidRDefault="00695BF3" w:rsidP="00695BF3">
            <w:pPr>
              <w:numPr>
                <w:ilvl w:val="0"/>
                <w:numId w:val="5"/>
              </w:numPr>
              <w:spacing w:after="60" w:line="288" w:lineRule="atLeast"/>
              <w:ind w:left="480"/>
              <w:rPr>
                <w:rFonts w:ascii="Arial" w:eastAsia="Times New Roman" w:hAnsi="Arial" w:cs="Arial"/>
                <w:color w:val="000000"/>
              </w:rPr>
            </w:pPr>
            <w:r>
              <w:rPr>
                <w:rFonts w:ascii="Arial" w:eastAsia="Times New Roman" w:hAnsi="Arial" w:cs="Arial"/>
                <w:color w:val="000000"/>
              </w:rPr>
              <w:t>Les apprentissages visés (pourquoi)</w:t>
            </w:r>
          </w:p>
          <w:p w14:paraId="0E68ADA5" w14:textId="77777777" w:rsidR="00695BF3" w:rsidRDefault="00695BF3" w:rsidP="00695BF3">
            <w:pPr>
              <w:numPr>
                <w:ilvl w:val="0"/>
                <w:numId w:val="5"/>
              </w:numPr>
              <w:spacing w:after="60" w:line="288" w:lineRule="atLeast"/>
              <w:ind w:left="480"/>
              <w:rPr>
                <w:rFonts w:ascii="Arial" w:eastAsia="Times New Roman" w:hAnsi="Arial" w:cs="Arial"/>
                <w:color w:val="000000"/>
              </w:rPr>
            </w:pPr>
            <w:r>
              <w:rPr>
                <w:rFonts w:ascii="Arial" w:eastAsia="Times New Roman" w:hAnsi="Arial" w:cs="Arial"/>
                <w:color w:val="000000"/>
              </w:rPr>
              <w:t>Le but de la tâche proposée Les procédures (comment)</w:t>
            </w:r>
          </w:p>
          <w:p w14:paraId="60DA4B36" w14:textId="77777777" w:rsidR="00695BF3" w:rsidRDefault="00695BF3" w:rsidP="00695BF3">
            <w:pPr>
              <w:numPr>
                <w:ilvl w:val="0"/>
                <w:numId w:val="5"/>
              </w:numPr>
              <w:spacing w:after="60" w:line="288" w:lineRule="atLeast"/>
              <w:ind w:left="480"/>
              <w:rPr>
                <w:rFonts w:ascii="Arial" w:eastAsia="Times New Roman" w:hAnsi="Arial" w:cs="Arial"/>
                <w:color w:val="000000"/>
              </w:rPr>
            </w:pPr>
            <w:r>
              <w:rPr>
                <w:rFonts w:ascii="Arial" w:eastAsia="Times New Roman" w:hAnsi="Arial" w:cs="Arial"/>
                <w:color w:val="000000"/>
              </w:rPr>
              <w:t>Les apprentissages réalisés  (institutionnalisation)</w:t>
            </w:r>
          </w:p>
          <w:p w14:paraId="31844044" w14:textId="77777777" w:rsidR="00695BF3" w:rsidRDefault="00695BF3" w:rsidP="00695BF3">
            <w:pPr>
              <w:numPr>
                <w:ilvl w:val="0"/>
                <w:numId w:val="5"/>
              </w:numPr>
              <w:spacing w:after="60" w:line="288" w:lineRule="atLeast"/>
              <w:ind w:left="480"/>
              <w:rPr>
                <w:rFonts w:ascii="Arial" w:eastAsia="Times New Roman" w:hAnsi="Arial" w:cs="Arial"/>
                <w:color w:val="000000"/>
              </w:rPr>
            </w:pPr>
            <w:r>
              <w:rPr>
                <w:rFonts w:ascii="Arial" w:eastAsia="Times New Roman" w:hAnsi="Arial" w:cs="Arial"/>
                <w:color w:val="000000"/>
              </w:rPr>
              <w:t>Les apprentissages réels (évaluation)</w:t>
            </w:r>
          </w:p>
          <w:p w14:paraId="39A24EE4" w14:textId="77777777" w:rsidR="00695BF3" w:rsidRDefault="00695BF3" w:rsidP="00695BF3">
            <w:pPr>
              <w:numPr>
                <w:ilvl w:val="0"/>
                <w:numId w:val="5"/>
              </w:numPr>
              <w:spacing w:after="60" w:line="288" w:lineRule="atLeast"/>
              <w:ind w:left="480"/>
              <w:rPr>
                <w:rFonts w:ascii="Arial" w:eastAsia="Times New Roman" w:hAnsi="Arial" w:cs="Arial"/>
                <w:color w:val="000000"/>
              </w:rPr>
            </w:pPr>
            <w:r>
              <w:rPr>
                <w:rFonts w:ascii="Arial" w:eastAsia="Times New Roman" w:hAnsi="Arial" w:cs="Arial"/>
                <w:color w:val="000000"/>
              </w:rPr>
              <w:t>Les liens avec les autres apprentissages contenus et/ou procédures (la mémoire didactique)</w:t>
            </w:r>
          </w:p>
        </w:tc>
        <w:tc>
          <w:tcPr>
            <w:tcW w:w="0" w:type="auto"/>
            <w:tcBorders>
              <w:top w:val="single" w:sz="6" w:space="0" w:color="8FB2E6"/>
              <w:left w:val="single" w:sz="6" w:space="0" w:color="8FB2E6"/>
              <w:bottom w:val="single" w:sz="6" w:space="0" w:color="8FB2E6"/>
              <w:right w:val="single" w:sz="6" w:space="0" w:color="8FB2E6"/>
            </w:tcBorders>
            <w:shd w:val="clear" w:color="auto" w:fill="auto"/>
            <w:tcMar>
              <w:top w:w="144" w:type="dxa"/>
              <w:left w:w="144" w:type="dxa"/>
              <w:bottom w:w="144" w:type="dxa"/>
              <w:right w:w="144" w:type="dxa"/>
            </w:tcMar>
            <w:hideMark/>
          </w:tcPr>
          <w:p w14:paraId="22B940AB" w14:textId="77777777" w:rsidR="00695BF3" w:rsidRDefault="00695BF3" w:rsidP="00695BF3">
            <w:pPr>
              <w:numPr>
                <w:ilvl w:val="0"/>
                <w:numId w:val="6"/>
              </w:numPr>
              <w:spacing w:line="288" w:lineRule="atLeast"/>
              <w:ind w:left="480"/>
              <w:rPr>
                <w:rFonts w:ascii="Arial" w:eastAsia="Times New Roman" w:hAnsi="Arial" w:cs="Arial"/>
                <w:color w:val="000000"/>
              </w:rPr>
            </w:pPr>
            <w:r>
              <w:rPr>
                <w:rFonts w:ascii="Arial" w:eastAsia="Times New Roman" w:hAnsi="Arial" w:cs="Arial"/>
                <w:color w:val="000000"/>
              </w:rPr>
              <w:t>Avant la séance : le temps de la préparation</w:t>
            </w:r>
          </w:p>
          <w:p w14:paraId="37F2B0AB" w14:textId="77777777" w:rsidR="00695BF3" w:rsidRDefault="00695BF3" w:rsidP="00695BF3">
            <w:pPr>
              <w:numPr>
                <w:ilvl w:val="0"/>
                <w:numId w:val="6"/>
              </w:numPr>
              <w:spacing w:line="288" w:lineRule="atLeast"/>
              <w:ind w:left="480"/>
              <w:rPr>
                <w:rFonts w:ascii="Arial" w:eastAsia="Times New Roman" w:hAnsi="Arial" w:cs="Arial"/>
                <w:color w:val="000000"/>
              </w:rPr>
            </w:pPr>
            <w:r>
              <w:rPr>
                <w:rFonts w:ascii="Arial" w:eastAsia="Times New Roman" w:hAnsi="Arial" w:cs="Arial"/>
                <w:color w:val="000000"/>
              </w:rPr>
              <w:t>Au début de la séance : avant l’entrée en tâche/situation. La clarté cognitive.</w:t>
            </w:r>
          </w:p>
          <w:p w14:paraId="74707413" w14:textId="77777777" w:rsidR="00695BF3" w:rsidRDefault="00695BF3" w:rsidP="00695BF3">
            <w:pPr>
              <w:numPr>
                <w:ilvl w:val="0"/>
                <w:numId w:val="6"/>
              </w:numPr>
              <w:spacing w:line="288" w:lineRule="atLeast"/>
              <w:ind w:left="480"/>
              <w:rPr>
                <w:rFonts w:ascii="Arial" w:eastAsia="Times New Roman" w:hAnsi="Arial" w:cs="Arial"/>
                <w:color w:val="000000"/>
              </w:rPr>
            </w:pPr>
            <w:r>
              <w:rPr>
                <w:rFonts w:ascii="Arial" w:eastAsia="Times New Roman" w:hAnsi="Arial" w:cs="Arial"/>
                <w:color w:val="000000"/>
              </w:rPr>
              <w:t>Pendant la séance : la réalisation de la ou des tâches. La pluralité des démarches.</w:t>
            </w:r>
          </w:p>
          <w:p w14:paraId="1921E295" w14:textId="77777777" w:rsidR="00695BF3" w:rsidRDefault="00695BF3" w:rsidP="00695BF3">
            <w:pPr>
              <w:numPr>
                <w:ilvl w:val="0"/>
                <w:numId w:val="6"/>
              </w:numPr>
              <w:spacing w:line="288" w:lineRule="atLeast"/>
              <w:ind w:left="480"/>
              <w:rPr>
                <w:rFonts w:ascii="Arial" w:eastAsia="Times New Roman" w:hAnsi="Arial" w:cs="Arial"/>
                <w:color w:val="000000"/>
              </w:rPr>
            </w:pPr>
            <w:r>
              <w:rPr>
                <w:rFonts w:ascii="Arial" w:eastAsia="Times New Roman" w:hAnsi="Arial" w:cs="Arial"/>
                <w:color w:val="000000"/>
              </w:rPr>
              <w:t>À la fin de la séance: l’institutionnalisation</w:t>
            </w:r>
          </w:p>
          <w:p w14:paraId="43FE3456" w14:textId="77777777" w:rsidR="00695BF3" w:rsidRDefault="00695BF3" w:rsidP="00695BF3">
            <w:pPr>
              <w:numPr>
                <w:ilvl w:val="0"/>
                <w:numId w:val="6"/>
              </w:numPr>
              <w:spacing w:line="288" w:lineRule="atLeast"/>
              <w:ind w:left="480"/>
              <w:rPr>
                <w:rFonts w:ascii="Arial" w:eastAsia="Times New Roman" w:hAnsi="Arial" w:cs="Arial"/>
                <w:color w:val="000000"/>
              </w:rPr>
            </w:pPr>
            <w:r>
              <w:rPr>
                <w:rFonts w:ascii="Arial" w:eastAsia="Times New Roman" w:hAnsi="Arial" w:cs="Arial"/>
                <w:color w:val="000000"/>
              </w:rPr>
              <w:t>Après la séance : l'analyse des résultats ou le tissage entre une séance et la suivante</w:t>
            </w:r>
          </w:p>
        </w:tc>
        <w:tc>
          <w:tcPr>
            <w:tcW w:w="0" w:type="auto"/>
            <w:tcBorders>
              <w:top w:val="single" w:sz="6" w:space="0" w:color="8FB2E6"/>
              <w:left w:val="single" w:sz="6" w:space="0" w:color="8FB2E6"/>
              <w:bottom w:val="single" w:sz="6" w:space="0" w:color="8FB2E6"/>
              <w:right w:val="single" w:sz="6" w:space="0" w:color="8FB2E6"/>
            </w:tcBorders>
            <w:shd w:val="clear" w:color="auto" w:fill="auto"/>
            <w:tcMar>
              <w:top w:w="144" w:type="dxa"/>
              <w:left w:w="144" w:type="dxa"/>
              <w:bottom w:w="144" w:type="dxa"/>
              <w:right w:w="144" w:type="dxa"/>
            </w:tcMar>
            <w:hideMark/>
          </w:tcPr>
          <w:p w14:paraId="0A2AA8A7" w14:textId="77777777" w:rsidR="00695BF3" w:rsidRDefault="00695BF3" w:rsidP="00695BF3">
            <w:pPr>
              <w:numPr>
                <w:ilvl w:val="0"/>
                <w:numId w:val="7"/>
              </w:numPr>
              <w:spacing w:line="288" w:lineRule="atLeast"/>
              <w:ind w:left="480"/>
              <w:rPr>
                <w:rFonts w:ascii="Arial" w:eastAsia="Times New Roman" w:hAnsi="Arial" w:cs="Arial"/>
                <w:color w:val="000000"/>
              </w:rPr>
            </w:pPr>
            <w:r>
              <w:rPr>
                <w:rFonts w:ascii="Arial" w:eastAsia="Times New Roman" w:hAnsi="Arial" w:cs="Arial"/>
                <w:color w:val="000000"/>
              </w:rPr>
              <w:t>Par des dispositifs et des outils qui aident les élèves à se distancier de la tâche demandée</w:t>
            </w:r>
          </w:p>
          <w:p w14:paraId="2194C73E" w14:textId="77777777" w:rsidR="00695BF3" w:rsidRDefault="00695BF3" w:rsidP="00695BF3">
            <w:pPr>
              <w:numPr>
                <w:ilvl w:val="0"/>
                <w:numId w:val="7"/>
              </w:numPr>
              <w:spacing w:line="288" w:lineRule="atLeast"/>
              <w:ind w:left="480"/>
              <w:rPr>
                <w:rFonts w:ascii="Arial" w:eastAsia="Times New Roman" w:hAnsi="Arial" w:cs="Arial"/>
                <w:color w:val="000000"/>
              </w:rPr>
            </w:pPr>
            <w:r>
              <w:rPr>
                <w:rFonts w:ascii="Arial" w:eastAsia="Times New Roman" w:hAnsi="Arial" w:cs="Arial"/>
                <w:color w:val="000000"/>
              </w:rPr>
              <w:t>Par des questionnements et des sollicitations de l'enseignant</w:t>
            </w:r>
          </w:p>
          <w:p w14:paraId="63AC4E51" w14:textId="77777777" w:rsidR="00695BF3" w:rsidRDefault="00695BF3" w:rsidP="00695BF3">
            <w:pPr>
              <w:numPr>
                <w:ilvl w:val="0"/>
                <w:numId w:val="7"/>
              </w:numPr>
              <w:spacing w:line="288" w:lineRule="atLeast"/>
              <w:ind w:left="480"/>
              <w:rPr>
                <w:rFonts w:ascii="Arial" w:eastAsia="Times New Roman" w:hAnsi="Arial" w:cs="Arial"/>
                <w:color w:val="000000"/>
              </w:rPr>
            </w:pPr>
            <w:r>
              <w:rPr>
                <w:rFonts w:ascii="Arial" w:eastAsia="Times New Roman" w:hAnsi="Arial" w:cs="Arial"/>
                <w:color w:val="000000"/>
              </w:rPr>
              <w:t>Par des organisations qui provoquent des interactions entre élèves</w:t>
            </w:r>
          </w:p>
          <w:p w14:paraId="64456D7D" w14:textId="77777777" w:rsidR="00695BF3" w:rsidRDefault="00695BF3" w:rsidP="00695BF3">
            <w:pPr>
              <w:numPr>
                <w:ilvl w:val="0"/>
                <w:numId w:val="7"/>
              </w:numPr>
              <w:spacing w:line="288" w:lineRule="atLeast"/>
              <w:ind w:left="480"/>
              <w:rPr>
                <w:rFonts w:ascii="Arial" w:eastAsia="Times New Roman" w:hAnsi="Arial" w:cs="Arial"/>
                <w:color w:val="000000"/>
              </w:rPr>
            </w:pPr>
            <w:r>
              <w:rPr>
                <w:rFonts w:ascii="Arial" w:eastAsia="Times New Roman" w:hAnsi="Arial" w:cs="Arial"/>
                <w:color w:val="000000"/>
              </w:rPr>
              <w:t>Par des traces qui permettent de fixer et de conserver le savoir construit</w:t>
            </w:r>
          </w:p>
          <w:p w14:paraId="56863C1C" w14:textId="77777777" w:rsidR="00695BF3" w:rsidRDefault="00695BF3" w:rsidP="00695BF3">
            <w:pPr>
              <w:numPr>
                <w:ilvl w:val="0"/>
                <w:numId w:val="7"/>
              </w:numPr>
              <w:spacing w:line="288" w:lineRule="atLeast"/>
              <w:ind w:left="480"/>
              <w:rPr>
                <w:rFonts w:ascii="Arial" w:eastAsia="Times New Roman" w:hAnsi="Arial" w:cs="Arial"/>
                <w:color w:val="000000"/>
              </w:rPr>
            </w:pPr>
            <w:r>
              <w:rPr>
                <w:rFonts w:ascii="Arial" w:eastAsia="Times New Roman" w:hAnsi="Arial" w:cs="Arial"/>
                <w:color w:val="000000"/>
              </w:rPr>
              <w:t>...</w:t>
            </w:r>
          </w:p>
        </w:tc>
      </w:tr>
    </w:tbl>
    <w:p w14:paraId="47F6A2E5" w14:textId="77777777" w:rsidR="007050DA" w:rsidRDefault="007050DA">
      <w:bookmarkStart w:id="2" w:name="section-4"/>
      <w:bookmarkEnd w:id="2"/>
    </w:p>
    <w:sectPr w:rsidR="007050DA" w:rsidSect="00695BF3">
      <w:pgSz w:w="16840" w:h="11900" w:orient="landscape"/>
      <w:pgMar w:top="709" w:right="822"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561"/>
    <w:multiLevelType w:val="multilevel"/>
    <w:tmpl w:val="68A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6E3F88"/>
    <w:multiLevelType w:val="multilevel"/>
    <w:tmpl w:val="0B0C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840472"/>
    <w:multiLevelType w:val="multilevel"/>
    <w:tmpl w:val="68A4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94772E"/>
    <w:multiLevelType w:val="multilevel"/>
    <w:tmpl w:val="D58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EE6714"/>
    <w:multiLevelType w:val="multilevel"/>
    <w:tmpl w:val="642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D93A14"/>
    <w:multiLevelType w:val="multilevel"/>
    <w:tmpl w:val="9BB8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E770A3"/>
    <w:multiLevelType w:val="multilevel"/>
    <w:tmpl w:val="C69A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F3"/>
    <w:rsid w:val="00420B56"/>
    <w:rsid w:val="004973F0"/>
    <w:rsid w:val="00695BF3"/>
    <w:rsid w:val="007050DA"/>
    <w:rsid w:val="00B367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BD33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F3"/>
  </w:style>
  <w:style w:type="paragraph" w:styleId="Titre2">
    <w:name w:val="heading 2"/>
    <w:basedOn w:val="Normal"/>
    <w:next w:val="Normal"/>
    <w:link w:val="Titre2Car"/>
    <w:uiPriority w:val="9"/>
    <w:unhideWhenUsed/>
    <w:qFormat/>
    <w:rsid w:val="00695B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95BF3"/>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695BF3"/>
    <w:rPr>
      <w:color w:val="0000FF" w:themeColor="hyperlink"/>
      <w:u w:val="single"/>
    </w:rPr>
  </w:style>
  <w:style w:type="paragraph" w:styleId="NormalWeb">
    <w:name w:val="Normal (Web)"/>
    <w:basedOn w:val="Normal"/>
    <w:uiPriority w:val="99"/>
    <w:semiHidden/>
    <w:unhideWhenUsed/>
    <w:rsid w:val="00695BF3"/>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Policepardfaut"/>
    <w:rsid w:val="00695BF3"/>
  </w:style>
  <w:style w:type="character" w:styleId="Accentuation">
    <w:name w:val="Emphasis"/>
    <w:basedOn w:val="Policepardfaut"/>
    <w:uiPriority w:val="20"/>
    <w:qFormat/>
    <w:rsid w:val="00695BF3"/>
    <w:rPr>
      <w:i/>
      <w:iCs/>
    </w:rPr>
  </w:style>
  <w:style w:type="character" w:styleId="lev">
    <w:name w:val="Strong"/>
    <w:basedOn w:val="Policepardfaut"/>
    <w:uiPriority w:val="22"/>
    <w:qFormat/>
    <w:rsid w:val="00695BF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F3"/>
  </w:style>
  <w:style w:type="paragraph" w:styleId="Titre2">
    <w:name w:val="heading 2"/>
    <w:basedOn w:val="Normal"/>
    <w:next w:val="Normal"/>
    <w:link w:val="Titre2Car"/>
    <w:uiPriority w:val="9"/>
    <w:unhideWhenUsed/>
    <w:qFormat/>
    <w:rsid w:val="00695B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95BF3"/>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695BF3"/>
    <w:rPr>
      <w:color w:val="0000FF" w:themeColor="hyperlink"/>
      <w:u w:val="single"/>
    </w:rPr>
  </w:style>
  <w:style w:type="paragraph" w:styleId="NormalWeb">
    <w:name w:val="Normal (Web)"/>
    <w:basedOn w:val="Normal"/>
    <w:uiPriority w:val="99"/>
    <w:semiHidden/>
    <w:unhideWhenUsed/>
    <w:rsid w:val="00695BF3"/>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Policepardfaut"/>
    <w:rsid w:val="00695BF3"/>
  </w:style>
  <w:style w:type="character" w:styleId="Accentuation">
    <w:name w:val="Emphasis"/>
    <w:basedOn w:val="Policepardfaut"/>
    <w:uiPriority w:val="20"/>
    <w:qFormat/>
    <w:rsid w:val="00695BF3"/>
    <w:rPr>
      <w:i/>
      <w:iCs/>
    </w:rPr>
  </w:style>
  <w:style w:type="character" w:styleId="lev">
    <w:name w:val="Strong"/>
    <w:basedOn w:val="Policepardfaut"/>
    <w:uiPriority w:val="22"/>
    <w:qFormat/>
    <w:rsid w:val="00695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entre-alain-savary.ens-lyon.fr/CAS/education-prioritaire/ressources/theme-1-perspectives-pedagogiques-et-educatives/realiser-un-enseignement-plus-explicite/enseigner-explicitement-pour-quoi-qui-quand-quoi-commen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fe.ens-lyon.fr/ife/recherche/lire-ecrire/lire-et-ecrire" TargetMode="External"/><Relationship Id="rId7" Type="http://schemas.openxmlformats.org/officeDocument/2006/relationships/hyperlink" Target="http://acte.univ-bpclermont.fr/" TargetMode="External"/><Relationship Id="rId8" Type="http://schemas.openxmlformats.org/officeDocument/2006/relationships/hyperlink" Target="http://www.persee.fr/doc/rfp_0556-7807_2004_num_148_1_3252" TargetMode="External"/><Relationship Id="rId9" Type="http://schemas.openxmlformats.org/officeDocument/2006/relationships/hyperlink" Target="http://centre-alain-savary.ens-lyon.fr/CAS/education-prioritaire/ressources/theme-1-perspectives-pedagogiques-et-educatives/realiser-un-enseignement-plus-explicite/enseigner-explicitement-pour-quoi-qui-quand-quoi-comment" TargetMode="External"/><Relationship Id="rId10" Type="http://schemas.openxmlformats.org/officeDocument/2006/relationships/hyperlink" Target="http://centre-alain-savary.ens-lyon.fr/CAS/education-prioritaire/ressources/theme-1-perspectives-pedagogiques-et-educatives/realiser-un-enseignement-plus-explicite/enseigner-explicitement-pour-quoi-qui-quand-quoi-commen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1191</Words>
  <Characters>6554</Characters>
  <Application>Microsoft Macintosh Word</Application>
  <DocSecurity>0</DocSecurity>
  <Lines>54</Lines>
  <Paragraphs>15</Paragraphs>
  <ScaleCrop>false</ScaleCrop>
  <Company>wd</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d</dc:creator>
  <cp:keywords/>
  <dc:description/>
  <cp:lastModifiedBy>w d</cp:lastModifiedBy>
  <cp:revision>3</cp:revision>
  <cp:lastPrinted>2019-01-11T12:20:00Z</cp:lastPrinted>
  <dcterms:created xsi:type="dcterms:W3CDTF">2018-11-18T14:12:00Z</dcterms:created>
  <dcterms:modified xsi:type="dcterms:W3CDTF">2019-01-11T12:43:00Z</dcterms:modified>
</cp:coreProperties>
</file>