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40" w:lineRule="auto"/>
        <w:ind w:left="-142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Мнемотехника многофункциональна. На ее основе можно создать разнообразные дидактические игры. </w:t>
      </w:r>
    </w:p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Таким образом, с помощью мнемотаблиц, схем - моделей удаётся достичь следующих результатов: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-у детей увеличивается круг знаний об окружающем мире;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-появляется желание пересказывать тексты, придумывать интересные истории;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-появляется интерес к заучиванию стихов и потешек;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-словарный запас выходит на более высокий уровень;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-дети преодолевают робость, застенчивость, учатся свободно держаться перед аудиторией.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461260" cy="1732280"/>
            <wp:effectExtent b="0" l="0" r="0" t="0"/>
            <wp:docPr descr="http://mostevent.ru/sites/default/files/images/razvitie_pamyati/mnemotehnika1.jpg" id="1033" name="image2.png"/>
            <a:graphic>
              <a:graphicData uri="http://schemas.openxmlformats.org/drawingml/2006/picture">
                <pic:pic>
                  <pic:nvPicPr>
                    <pic:cNvPr descr="http://mostevent.ru/sites/default/files/images/razvitie_pamyati/mnemotehnika1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732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Для чего мы используем мнемотехнические приемы: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Чтобы развивать у детей умения с помощью графической аналогии, а также с помощью заместителей  понимать и рассказывать знакомые произведения, разучивать стихи и сказки;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Чтобы знакомить детей с характерными особенностями времён года, жизнью животных, птиц и растений с помощью условных обозначений на мнемодорожке и мнемотаблице.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Чтобы развивать основные психические процессы (память, мышление, воображение).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360" w:right="0" w:hanging="360"/>
        <w:contextualSpacing w:val="1"/>
        <w:jc w:val="both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Чтобы развивать умственную активность, сообразительность, умение сравнивать, выделять существенные признаки.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М</w:t>
      </w:r>
      <w:r w:rsidDel="00000000" w:rsidR="00000000" w:rsidRPr="00000000">
        <w:rPr>
          <w:sz w:val="22"/>
          <w:szCs w:val="22"/>
          <w:rtl w:val="0"/>
        </w:rPr>
        <w:t xml:space="preserve">БДОУ детский сад № 4 “Чиполлино” г. Саяногорск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Буклет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для родителей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МНЕМОТЕХНИКА В ПОМОЩЬ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РОДИТЕЛЯМ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785110" cy="2055495"/>
            <wp:effectExtent b="0" l="0" r="0" t="0"/>
            <wp:docPr descr="http://dsklyuch2.omr.obr55.ru/files/2014/12/66598505.png" id="1034" name="image3.png"/>
            <a:graphic>
              <a:graphicData uri="http://schemas.openxmlformats.org/drawingml/2006/picture">
                <pic:pic>
                  <pic:nvPicPr>
                    <pic:cNvPr descr="http://dsklyuch2.omr.obr55.ru/files/2014/12/66598505.pn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2055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Буклет подготовила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Ибрагимова Н. 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Воспитатель l кв.кат.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Что такое «МНЕМОТЕХНИКА»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Мнемотехника,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или мнемоника, в переводе с греческого - «искусство запоминания». Мнемоника – это система методов и приёмов, обеспечивающих эффективное запоминание, сохранение и воспроизведение информации.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Мнемоквадрат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– элементарная единица, с которой начинается работа в данной методики..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Мнемодорожка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несёт обучающую информацию в небольшом количестве.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Мнемотаблица –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это схема, в которую заложена определённая информация, состоящая из квадратов и дорожек. Работа с мнемотаблицами решает задачи, направленные на:   развитие основных психических процессов – памяти, внимания, образного мышления; перекодирование информации, т. е. преобразование из абстрактных символов в образы; развитие мелкой моторики рук при частичном или полном графическом воспроизведении.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Как работать с таблицей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tabs>
          <w:tab w:val="left" w:pos="361"/>
        </w:tabs>
        <w:spacing w:after="0" w:before="0" w:line="240" w:lineRule="auto"/>
        <w:ind w:left="0" w:right="2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</w:t>
        <w:tab/>
        <w:t xml:space="preserve">учить детей заменять  ключевые слова в предложениях значками-символами; учить зарисовывать предметы и явления природы не только символами, но и буквами, а также простыми словами (мама, дом, еда) — если дети умеют читать и писать;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120015</wp:posOffset>
            </wp:positionH>
            <wp:positionV relativeFrom="paragraph">
              <wp:posOffset>151130</wp:posOffset>
            </wp:positionV>
            <wp:extent cx="2337435" cy="1647825"/>
            <wp:effectExtent b="38100" l="38100" r="38100" t="38100"/>
            <wp:wrapSquare wrapText="bothSides" distB="0" distT="0" distL="114300" distR="114300"/>
            <wp:docPr id="103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164782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" w:right="2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</w:t>
        <w:tab/>
        <w:t xml:space="preserve">самостоятельно, с помощью знаков-символов, заполнять схему-модель. Использовать схему-модель как план пересказа;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0" w:right="20" w:firstLine="709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•</w:t>
        <w:tab/>
        <w:t xml:space="preserve">закреплять изученный материал путем неоднократного повторения рассказа с опорой на составленную ранее схему- модель.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Что является опорным в таблице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Опорным является изображение главных героев, понимание произведения, содержания, которое «завязано» вокруг главных героев.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Что изображается в таблице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Схематически возможно изображение персонажей сказок, явлений природы, некоторых действий, то есть всё то, что вы посчитаете нужным отразить в данной таблице. Но изобразить так, чтобы нарисованное было понятно детям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contextualSpacing w:val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2868930" cy="1991360"/>
            <wp:effectExtent b="0" l="0" r="0" t="0"/>
            <wp:docPr descr="http://womanadvice.ru/sites/default/files/tania/mnemotehnika_v_detskom_sadu_ris.3.jpg" id="1035" name="image4.png"/>
            <a:graphic>
              <a:graphicData uri="http://schemas.openxmlformats.org/drawingml/2006/picture">
                <pic:pic>
                  <pic:nvPicPr>
                    <pic:cNvPr descr="http://womanadvice.ru/sites/default/files/tania/mnemotehnika_v_detskom_sadu_ris.3.jpg"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1991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/>
      <w:pgMar w:bottom="1079" w:top="851" w:left="1134" w:right="1134" w:header="709" w:footer="709"/>
      <w:pgNumType w:start="1"/>
      <w:cols w:equalWidth="0" w:num="3">
        <w:col w:space="708" w:w="4384.666666666666"/>
        <w:col w:space="708" w:w="4384.666666666666"/>
        <w:col w:space="0" w:w="4384.666666666666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cs="Noto Sans Symbols" w:eastAsia="Noto Sans Symbols" w:hAnsi="Noto Sans Symbols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▪"/>
      <w:lvlJc w:val="left"/>
      <w:pPr>
        <w:ind w:left="10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♦"/>
      <w:lvlJc w:val="left"/>
      <w:pPr>
        <w:ind w:left="1800" w:hanging="36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➢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♦"/>
      <w:lvlJc w:val="left"/>
      <w:pPr>
        <w:ind w:left="324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Обычный">
    <w:name w:val="Обычный"/>
    <w:next w:val="Обычный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character" w:styleId="Основнойшрифтабзаца">
    <w:name w:val="Основной шрифт абзаца"/>
    <w:next w:val="Основнойшрифтабзаца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Обычнаятаблица">
    <w:name w:val="Обычная таблица"/>
    <w:next w:val="Обычнаятаблиц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Нетсписка">
    <w:name w:val="Нет списка"/>
    <w:next w:val="Нетсписка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Абзацсписка">
    <w:name w:val="Абзац списка"/>
    <w:basedOn w:val="Обычный"/>
    <w:next w:val="Абзацсписка"/>
    <w:autoRedefine w:val="0"/>
    <w:hidden w:val="0"/>
    <w:qFormat w:val="0"/>
    <w:pPr>
      <w:suppressAutoHyphens w:val="1"/>
      <w:spacing w:after="200" w:line="276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ru-RU"/>
    </w:rPr>
  </w:style>
  <w:style w:type="paragraph" w:styleId="Текствыноски">
    <w:name w:val="Текст выноски"/>
    <w:basedOn w:val="Обычный"/>
    <w:next w:val="Текствыноски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ЗнакЗнак">
    <w:name w:val="Знак Знак"/>
    <w:next w:val="ЗнакЗнак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