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C89" w:rsidRPr="00631920" w:rsidRDefault="00802C89" w:rsidP="00802C89">
      <w:pPr>
        <w:spacing w:after="0" w:line="240" w:lineRule="auto"/>
        <w:jc w:val="center"/>
        <w:rPr>
          <w:rFonts w:ascii="Century Gothic" w:hAnsi="Century Gothic"/>
          <w:smallCaps/>
          <w:color w:val="403152" w:themeColor="accent4" w:themeShade="80"/>
          <w:sz w:val="20"/>
          <w:szCs w:val="20"/>
        </w:rPr>
      </w:pPr>
      <w:r w:rsidRPr="00631920">
        <w:rPr>
          <w:rFonts w:ascii="Century Gothic" w:hAnsi="Century Gothic"/>
          <w:smallCaps/>
          <w:color w:val="403152" w:themeColor="accent4" w:themeShade="80"/>
          <w:sz w:val="20"/>
          <w:szCs w:val="20"/>
        </w:rPr>
        <w:t xml:space="preserve">Cahier des charges – </w:t>
      </w:r>
      <w:r w:rsidR="00631920" w:rsidRPr="00631920">
        <w:rPr>
          <w:rFonts w:ascii="Century Gothic" w:hAnsi="Century Gothic"/>
          <w:smallCaps/>
          <w:color w:val="403152" w:themeColor="accent4" w:themeShade="80"/>
          <w:sz w:val="20"/>
          <w:szCs w:val="20"/>
        </w:rPr>
        <w:t>Étude</w:t>
      </w:r>
    </w:p>
    <w:p w:rsidR="00802C89" w:rsidRPr="00631920" w:rsidRDefault="00802C89" w:rsidP="00802C89">
      <w:pPr>
        <w:spacing w:after="0" w:line="240" w:lineRule="auto"/>
        <w:jc w:val="center"/>
        <w:rPr>
          <w:rFonts w:ascii="Century Gothic" w:hAnsi="Century Gothic"/>
          <w:smallCaps/>
          <w:color w:val="403152" w:themeColor="accent4" w:themeShade="80"/>
          <w:sz w:val="20"/>
          <w:szCs w:val="20"/>
        </w:rPr>
      </w:pPr>
    </w:p>
    <w:p w:rsidR="00631920" w:rsidRDefault="00CF7564" w:rsidP="00802C89">
      <w:pPr>
        <w:spacing w:after="0" w:line="240" w:lineRule="auto"/>
        <w:jc w:val="center"/>
        <w:rPr>
          <w:rFonts w:ascii="Century Gothic" w:hAnsi="Century Gothic"/>
          <w:smallCaps/>
          <w:color w:val="403152" w:themeColor="accent4" w:themeShade="80"/>
          <w:sz w:val="20"/>
          <w:szCs w:val="20"/>
        </w:rPr>
      </w:pPr>
      <w:r w:rsidRPr="00631920">
        <w:rPr>
          <w:rFonts w:ascii="Century Gothic" w:hAnsi="Century Gothic"/>
          <w:smallCaps/>
          <w:color w:val="403152" w:themeColor="accent4" w:themeShade="80"/>
          <w:sz w:val="20"/>
          <w:szCs w:val="20"/>
        </w:rPr>
        <w:t xml:space="preserve">Victimes de violences sexistes et sexuelles, </w:t>
      </w:r>
    </w:p>
    <w:p w:rsidR="00CF7564" w:rsidRPr="00631920" w:rsidRDefault="00CF7564" w:rsidP="00802C89">
      <w:pPr>
        <w:spacing w:after="0" w:line="240" w:lineRule="auto"/>
        <w:jc w:val="center"/>
        <w:rPr>
          <w:rFonts w:ascii="Century Gothic" w:hAnsi="Century Gothic"/>
          <w:smallCaps/>
          <w:color w:val="403152" w:themeColor="accent4" w:themeShade="80"/>
          <w:sz w:val="20"/>
          <w:szCs w:val="20"/>
        </w:rPr>
      </w:pPr>
      <w:r w:rsidRPr="00631920">
        <w:rPr>
          <w:rFonts w:ascii="Century Gothic" w:hAnsi="Century Gothic"/>
          <w:smallCaps/>
          <w:color w:val="403152" w:themeColor="accent4" w:themeShade="80"/>
          <w:sz w:val="20"/>
          <w:szCs w:val="20"/>
        </w:rPr>
        <w:t>repérer les besoins</w:t>
      </w:r>
      <w:r w:rsidR="00802C89" w:rsidRPr="00631920">
        <w:rPr>
          <w:rFonts w:ascii="Century Gothic" w:hAnsi="Century Gothic"/>
          <w:smallCaps/>
          <w:color w:val="403152" w:themeColor="accent4" w:themeShade="80"/>
          <w:sz w:val="20"/>
          <w:szCs w:val="20"/>
        </w:rPr>
        <w:t xml:space="preserve"> en terme d'accueil et d'accompagnement</w:t>
      </w:r>
    </w:p>
    <w:p w:rsidR="00802C89" w:rsidRPr="00631920" w:rsidRDefault="00802C89" w:rsidP="00802C89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802C89" w:rsidRPr="00631920" w:rsidRDefault="00802C89" w:rsidP="00802C89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802C89" w:rsidRPr="00631920" w:rsidRDefault="00802C89" w:rsidP="00802C89">
      <w:pPr>
        <w:pStyle w:val="Paragraphedeliste"/>
        <w:numPr>
          <w:ilvl w:val="0"/>
          <w:numId w:val="1"/>
        </w:numPr>
        <w:spacing w:after="0" w:line="240" w:lineRule="auto"/>
        <w:rPr>
          <w:rFonts w:ascii="Century Gothic" w:hAnsi="Century Gothic"/>
          <w:b/>
          <w:smallCaps/>
          <w:color w:val="403152" w:themeColor="accent4" w:themeShade="80"/>
          <w:sz w:val="20"/>
          <w:szCs w:val="20"/>
        </w:rPr>
      </w:pPr>
      <w:r w:rsidRPr="00631920">
        <w:rPr>
          <w:rFonts w:ascii="Century Gothic" w:hAnsi="Century Gothic"/>
          <w:b/>
          <w:smallCaps/>
          <w:color w:val="403152" w:themeColor="accent4" w:themeShade="80"/>
          <w:sz w:val="20"/>
          <w:szCs w:val="20"/>
        </w:rPr>
        <w:t>Contexte</w:t>
      </w:r>
    </w:p>
    <w:p w:rsidR="00802C89" w:rsidRPr="00631920" w:rsidRDefault="00802C89" w:rsidP="00802C89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802C89" w:rsidRPr="00631920" w:rsidRDefault="00802C89" w:rsidP="00B8742C">
      <w:pPr>
        <w:spacing w:after="0" w:line="240" w:lineRule="auto"/>
        <w:rPr>
          <w:rFonts w:ascii="Century Gothic" w:hAnsi="Century Gothic"/>
          <w:sz w:val="20"/>
          <w:szCs w:val="20"/>
          <w:u w:val="single"/>
        </w:rPr>
      </w:pPr>
      <w:r w:rsidRPr="00631920">
        <w:rPr>
          <w:rFonts w:ascii="Century Gothic" w:hAnsi="Century Gothic"/>
          <w:sz w:val="20"/>
          <w:szCs w:val="20"/>
          <w:u w:val="single"/>
        </w:rPr>
        <w:t>Politique publique</w:t>
      </w:r>
    </w:p>
    <w:p w:rsidR="00802C89" w:rsidRDefault="00802C89" w:rsidP="00B8742C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B8742C" w:rsidRPr="00B8742C" w:rsidRDefault="00B8742C" w:rsidP="00B8742C">
      <w:pPr>
        <w:spacing w:after="0" w:line="240" w:lineRule="auto"/>
        <w:ind w:right="-142"/>
        <w:jc w:val="both"/>
        <w:rPr>
          <w:rFonts w:ascii="Century Gothic" w:hAnsi="Century Gothic" w:cs="Calibri"/>
          <w:sz w:val="20"/>
          <w:szCs w:val="20"/>
        </w:rPr>
      </w:pPr>
      <w:r w:rsidRPr="00B8742C">
        <w:rPr>
          <w:rFonts w:ascii="Century Gothic" w:hAnsi="Century Gothic" w:cs="Calibri"/>
          <w:sz w:val="20"/>
          <w:szCs w:val="20"/>
        </w:rPr>
        <w:t xml:space="preserve">La politique publique de lutte contre les violences faites aux femmes est une compétence d'Etat dans </w:t>
      </w:r>
      <w:r w:rsidR="00480579">
        <w:rPr>
          <w:rFonts w:ascii="Century Gothic" w:hAnsi="Century Gothic" w:cs="Calibri"/>
          <w:sz w:val="20"/>
          <w:szCs w:val="20"/>
        </w:rPr>
        <w:t>s</w:t>
      </w:r>
      <w:r w:rsidRPr="00B8742C">
        <w:rPr>
          <w:rFonts w:ascii="Century Gothic" w:hAnsi="Century Gothic" w:cs="Calibri"/>
          <w:sz w:val="20"/>
          <w:szCs w:val="20"/>
        </w:rPr>
        <w:t xml:space="preserve">on pilotage, mais elle associe un nombre important de structures, institutionnelles ou associatives, compétent dans leur </w:t>
      </w:r>
      <w:r w:rsidR="00480579">
        <w:rPr>
          <w:rFonts w:ascii="Century Gothic" w:hAnsi="Century Gothic" w:cs="Calibri"/>
          <w:sz w:val="20"/>
          <w:szCs w:val="20"/>
        </w:rPr>
        <w:t>champ (sanitaire, social</w:t>
      </w:r>
      <w:r>
        <w:rPr>
          <w:rFonts w:ascii="Century Gothic" w:hAnsi="Century Gothic" w:cs="Calibri"/>
          <w:sz w:val="20"/>
          <w:szCs w:val="20"/>
        </w:rPr>
        <w:t>, ju</w:t>
      </w:r>
      <w:r w:rsidRPr="00B8742C">
        <w:rPr>
          <w:rFonts w:ascii="Century Gothic" w:hAnsi="Century Gothic" w:cs="Calibri"/>
          <w:sz w:val="20"/>
          <w:szCs w:val="20"/>
        </w:rPr>
        <w:t xml:space="preserve">diciaire…). La </w:t>
      </w:r>
      <w:r w:rsidRPr="00B8742C">
        <w:rPr>
          <w:rFonts w:ascii="Century Gothic" w:hAnsi="Century Gothic" w:cs="Calibri"/>
          <w:b/>
          <w:sz w:val="20"/>
          <w:szCs w:val="20"/>
        </w:rPr>
        <w:t>Ville de Rennes</w:t>
      </w:r>
      <w:r w:rsidRPr="00B8742C">
        <w:rPr>
          <w:rFonts w:ascii="Century Gothic" w:hAnsi="Century Gothic" w:cs="Calibri"/>
          <w:sz w:val="20"/>
          <w:szCs w:val="20"/>
        </w:rPr>
        <w:t xml:space="preserve"> a également investi ce thème de travail marquant son volontarisme en la matière, sans se substituer au travail de l'Etat</w:t>
      </w:r>
      <w:r>
        <w:rPr>
          <w:rFonts w:ascii="Century Gothic" w:hAnsi="Century Gothic" w:cs="Calibri"/>
          <w:sz w:val="20"/>
          <w:szCs w:val="20"/>
        </w:rPr>
        <w:t>,</w:t>
      </w:r>
      <w:r w:rsidRPr="00B8742C">
        <w:rPr>
          <w:rFonts w:ascii="Century Gothic" w:hAnsi="Century Gothic" w:cs="Calibri"/>
          <w:sz w:val="20"/>
          <w:szCs w:val="20"/>
        </w:rPr>
        <w:t xml:space="preserve"> en </w:t>
      </w:r>
      <w:r>
        <w:rPr>
          <w:rFonts w:ascii="Century Gothic" w:hAnsi="Century Gothic" w:cs="Calibri"/>
          <w:sz w:val="20"/>
          <w:szCs w:val="20"/>
        </w:rPr>
        <w:t>participant au</w:t>
      </w:r>
      <w:r w:rsidRPr="00B8742C">
        <w:rPr>
          <w:rFonts w:ascii="Century Gothic" w:hAnsi="Century Gothic" w:cs="Calibri"/>
          <w:sz w:val="20"/>
          <w:szCs w:val="20"/>
        </w:rPr>
        <w:t xml:space="preserve"> financement de structures spécialisées</w:t>
      </w:r>
      <w:r>
        <w:rPr>
          <w:rFonts w:ascii="Century Gothic" w:hAnsi="Century Gothic" w:cs="Calibri"/>
          <w:sz w:val="20"/>
          <w:szCs w:val="20"/>
        </w:rPr>
        <w:t xml:space="preserve"> (</w:t>
      </w:r>
      <w:proofErr w:type="spellStart"/>
      <w:r>
        <w:rPr>
          <w:rFonts w:ascii="Century Gothic" w:hAnsi="Century Gothic" w:cs="Calibri"/>
          <w:sz w:val="20"/>
          <w:szCs w:val="20"/>
        </w:rPr>
        <w:t>Asfad</w:t>
      </w:r>
      <w:proofErr w:type="spellEnd"/>
      <w:r>
        <w:rPr>
          <w:rFonts w:ascii="Century Gothic" w:hAnsi="Century Gothic" w:cs="Calibri"/>
          <w:sz w:val="20"/>
          <w:szCs w:val="20"/>
        </w:rPr>
        <w:t>, Sos Victimes, CIDFF…)</w:t>
      </w:r>
      <w:r w:rsidRPr="00B8742C">
        <w:rPr>
          <w:rFonts w:ascii="Century Gothic" w:hAnsi="Century Gothic" w:cs="Calibri"/>
          <w:sz w:val="20"/>
          <w:szCs w:val="20"/>
        </w:rPr>
        <w:t>,</w:t>
      </w:r>
      <w:r>
        <w:rPr>
          <w:rFonts w:ascii="Century Gothic" w:hAnsi="Century Gothic" w:cs="Calibri"/>
          <w:sz w:val="20"/>
          <w:szCs w:val="20"/>
        </w:rPr>
        <w:t xml:space="preserve"> en soutenant les initiatives de sensibilisation menée,</w:t>
      </w:r>
      <w:r w:rsidRPr="00B8742C">
        <w:rPr>
          <w:rFonts w:ascii="Century Gothic" w:hAnsi="Century Gothic" w:cs="Calibri"/>
          <w:sz w:val="20"/>
          <w:szCs w:val="20"/>
        </w:rPr>
        <w:t xml:space="preserve"> </w:t>
      </w:r>
      <w:r>
        <w:rPr>
          <w:rFonts w:ascii="Century Gothic" w:hAnsi="Century Gothic" w:cs="Calibri"/>
          <w:sz w:val="20"/>
          <w:szCs w:val="20"/>
        </w:rPr>
        <w:t xml:space="preserve">et </w:t>
      </w:r>
      <w:r w:rsidRPr="00B8742C">
        <w:rPr>
          <w:rFonts w:ascii="Century Gothic" w:hAnsi="Century Gothic" w:cs="Calibri"/>
          <w:sz w:val="20"/>
          <w:szCs w:val="20"/>
        </w:rPr>
        <w:t xml:space="preserve">en installant un </w:t>
      </w:r>
      <w:r w:rsidRPr="00B8742C">
        <w:rPr>
          <w:rFonts w:ascii="Century Gothic" w:hAnsi="Century Gothic" w:cs="Calibri"/>
          <w:b/>
          <w:sz w:val="20"/>
          <w:szCs w:val="20"/>
        </w:rPr>
        <w:t>réseau local interprofessionnel en juin 2019</w:t>
      </w:r>
      <w:r w:rsidRPr="00B8742C">
        <w:rPr>
          <w:rFonts w:ascii="Century Gothic" w:hAnsi="Century Gothic" w:cs="Calibri"/>
          <w:sz w:val="20"/>
          <w:szCs w:val="20"/>
        </w:rPr>
        <w:t>, qu'elle a mobilisé pour contribuer au schéma départemental.</w:t>
      </w:r>
    </w:p>
    <w:p w:rsidR="00B8742C" w:rsidRPr="00B8742C" w:rsidRDefault="00B8742C" w:rsidP="00B470C6">
      <w:pPr>
        <w:spacing w:after="0" w:line="240" w:lineRule="auto"/>
        <w:jc w:val="both"/>
        <w:rPr>
          <w:rFonts w:ascii="Century Gothic" w:hAnsi="Century Gothic" w:cs="Calibri"/>
          <w:sz w:val="20"/>
          <w:szCs w:val="20"/>
        </w:rPr>
      </w:pPr>
    </w:p>
    <w:p w:rsidR="00631920" w:rsidRDefault="00B8742C" w:rsidP="00B470C6">
      <w:pPr>
        <w:spacing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 xml:space="preserve">C'est dans le cadre de ce rôle de soutien, </w:t>
      </w:r>
      <w:r w:rsidR="00B470C6">
        <w:rPr>
          <w:rFonts w:ascii="Century Gothic" w:hAnsi="Century Gothic" w:cs="Calibri"/>
          <w:sz w:val="20"/>
          <w:szCs w:val="20"/>
        </w:rPr>
        <w:t xml:space="preserve">de coordination et de sensibilisation que la Ville intervient donc dans le domaine. </w:t>
      </w:r>
    </w:p>
    <w:p w:rsidR="00B8742C" w:rsidRDefault="00B8742C" w:rsidP="00B470C6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B470C6" w:rsidRPr="00631920" w:rsidRDefault="00B470C6" w:rsidP="00B470C6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802C89" w:rsidRPr="00587974" w:rsidRDefault="00802C89" w:rsidP="00802C89">
      <w:pPr>
        <w:spacing w:after="0" w:line="240" w:lineRule="auto"/>
        <w:rPr>
          <w:rFonts w:ascii="Century Gothic" w:hAnsi="Century Gothic"/>
          <w:sz w:val="20"/>
          <w:szCs w:val="20"/>
          <w:u w:val="single"/>
        </w:rPr>
      </w:pPr>
      <w:r w:rsidRPr="00587974">
        <w:rPr>
          <w:rFonts w:ascii="Century Gothic" w:hAnsi="Century Gothic"/>
          <w:sz w:val="20"/>
          <w:szCs w:val="20"/>
          <w:u w:val="single"/>
        </w:rPr>
        <w:t xml:space="preserve">Une demande qui s'inscrit dans un projet </w:t>
      </w:r>
      <w:r w:rsidR="00587974">
        <w:rPr>
          <w:rFonts w:ascii="Century Gothic" w:hAnsi="Century Gothic"/>
          <w:sz w:val="20"/>
          <w:szCs w:val="20"/>
          <w:u w:val="single"/>
        </w:rPr>
        <w:t>plus global</w:t>
      </w:r>
    </w:p>
    <w:p w:rsidR="00802C89" w:rsidRDefault="00802C89" w:rsidP="00802C89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B470C6" w:rsidRDefault="00B470C6" w:rsidP="00B470C6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La Ville souhaite la mise en place sur son territoire d'un lieu d'accueil adapté aux femmes victimes de violences et de leurs enfants, permettant un</w:t>
      </w:r>
      <w:r w:rsidR="00AC76DC">
        <w:rPr>
          <w:rFonts w:ascii="Century Gothic" w:hAnsi="Century Gothic"/>
          <w:sz w:val="20"/>
          <w:szCs w:val="20"/>
        </w:rPr>
        <w:t xml:space="preserve"> accueil et</w:t>
      </w:r>
      <w:r>
        <w:rPr>
          <w:rFonts w:ascii="Century Gothic" w:hAnsi="Century Gothic"/>
          <w:sz w:val="20"/>
          <w:szCs w:val="20"/>
        </w:rPr>
        <w:t xml:space="preserve"> </w:t>
      </w:r>
      <w:r w:rsidR="00480579">
        <w:rPr>
          <w:rFonts w:ascii="Century Gothic" w:hAnsi="Century Gothic"/>
          <w:sz w:val="20"/>
          <w:szCs w:val="20"/>
        </w:rPr>
        <w:t xml:space="preserve">un </w:t>
      </w:r>
      <w:r>
        <w:rPr>
          <w:rFonts w:ascii="Century Gothic" w:hAnsi="Century Gothic"/>
          <w:sz w:val="20"/>
          <w:szCs w:val="20"/>
        </w:rPr>
        <w:t xml:space="preserve">accompagnement </w:t>
      </w:r>
      <w:r w:rsidR="00AC76DC">
        <w:rPr>
          <w:rFonts w:ascii="Century Gothic" w:hAnsi="Century Gothic"/>
          <w:sz w:val="20"/>
          <w:szCs w:val="20"/>
        </w:rPr>
        <w:t>multidimensionnel</w:t>
      </w:r>
      <w:r>
        <w:rPr>
          <w:rFonts w:ascii="Century Gothic" w:hAnsi="Century Gothic"/>
          <w:sz w:val="20"/>
          <w:szCs w:val="20"/>
        </w:rPr>
        <w:t xml:space="preserve">, </w:t>
      </w:r>
      <w:r w:rsidR="00AC76DC">
        <w:rPr>
          <w:rFonts w:ascii="Century Gothic" w:hAnsi="Century Gothic"/>
          <w:sz w:val="20"/>
          <w:szCs w:val="20"/>
        </w:rPr>
        <w:t xml:space="preserve">individuel </w:t>
      </w:r>
      <w:r w:rsidR="00480579">
        <w:rPr>
          <w:rFonts w:ascii="Century Gothic" w:hAnsi="Century Gothic"/>
          <w:sz w:val="20"/>
          <w:szCs w:val="20"/>
        </w:rPr>
        <w:t xml:space="preserve">et / </w:t>
      </w:r>
      <w:r w:rsidR="00AC76DC">
        <w:rPr>
          <w:rFonts w:ascii="Century Gothic" w:hAnsi="Century Gothic"/>
          <w:sz w:val="20"/>
          <w:szCs w:val="20"/>
        </w:rPr>
        <w:t xml:space="preserve">ou collectif et une orientation adaptée. </w:t>
      </w:r>
    </w:p>
    <w:p w:rsidR="00AC76DC" w:rsidRDefault="00AC76DC" w:rsidP="00B470C6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AC76DC" w:rsidRDefault="00AC76DC" w:rsidP="00B470C6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C'est dans le cadre de ce projet, que la question des attentes des concernées se posent : comment avoir un lieu avec le </w:t>
      </w:r>
      <w:r w:rsidR="00480579">
        <w:rPr>
          <w:rFonts w:ascii="Century Gothic" w:hAnsi="Century Gothic"/>
          <w:sz w:val="20"/>
          <w:szCs w:val="20"/>
        </w:rPr>
        <w:t>moins d'obstacles possibles</w:t>
      </w:r>
      <w:r>
        <w:rPr>
          <w:rFonts w:ascii="Century Gothic" w:hAnsi="Century Gothic"/>
          <w:sz w:val="20"/>
          <w:szCs w:val="20"/>
        </w:rPr>
        <w:t xml:space="preserve"> </w:t>
      </w:r>
      <w:r w:rsidR="00480579" w:rsidRPr="00480579">
        <w:rPr>
          <w:rFonts w:ascii="Century Gothic" w:hAnsi="Century Gothic"/>
          <w:sz w:val="20"/>
          <w:szCs w:val="20"/>
        </w:rPr>
        <w:t>pour répondre au mieux à leurs besoins</w:t>
      </w:r>
      <w:r>
        <w:rPr>
          <w:rFonts w:ascii="Century Gothic" w:hAnsi="Century Gothic"/>
          <w:sz w:val="20"/>
          <w:szCs w:val="20"/>
        </w:rPr>
        <w:t>.</w:t>
      </w:r>
    </w:p>
    <w:p w:rsidR="00631920" w:rsidRDefault="00631920" w:rsidP="00B470C6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B470C6" w:rsidRPr="00631920" w:rsidRDefault="00B470C6" w:rsidP="00802C89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802C89" w:rsidRPr="00631920" w:rsidRDefault="00802C89" w:rsidP="00802C89">
      <w:pPr>
        <w:spacing w:after="0" w:line="240" w:lineRule="auto"/>
        <w:rPr>
          <w:rFonts w:ascii="Century Gothic" w:hAnsi="Century Gothic"/>
          <w:sz w:val="20"/>
          <w:szCs w:val="20"/>
          <w:u w:val="single"/>
        </w:rPr>
      </w:pPr>
      <w:r w:rsidRPr="00631920">
        <w:rPr>
          <w:rFonts w:ascii="Century Gothic" w:hAnsi="Century Gothic"/>
          <w:sz w:val="20"/>
          <w:szCs w:val="20"/>
          <w:u w:val="single"/>
        </w:rPr>
        <w:t>Consultation des instances partenariales</w:t>
      </w:r>
    </w:p>
    <w:p w:rsidR="00CF7564" w:rsidRDefault="00CF7564" w:rsidP="00802C89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631920" w:rsidRDefault="00631920" w:rsidP="005D3364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Le présent cahier des charges a été soumis à différentes instances et partenaires dans l'objectif de partager la démarche et que le réseau des acteurs puisse s'approprier les résultats :</w:t>
      </w:r>
    </w:p>
    <w:p w:rsidR="00631920" w:rsidRDefault="00631920" w:rsidP="005D3364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Réseau rennais interprofessionnel de lutte contre les violences faites aux femmes ;</w:t>
      </w:r>
    </w:p>
    <w:p w:rsidR="00631920" w:rsidRDefault="00631920" w:rsidP="005D3364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Comité technique interne à la ville de Rennes (DIAP, DSPH, DATTP, DHS)</w:t>
      </w:r>
    </w:p>
    <w:p w:rsidR="00631920" w:rsidRDefault="00631920" w:rsidP="005D3364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CHU, Préfecture</w:t>
      </w:r>
    </w:p>
    <w:p w:rsidR="00480579" w:rsidRDefault="00631920" w:rsidP="005D3364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Association </w:t>
      </w:r>
      <w:r w:rsidR="00480579">
        <w:rPr>
          <w:rFonts w:ascii="Century Gothic" w:hAnsi="Century Gothic"/>
          <w:sz w:val="20"/>
          <w:szCs w:val="20"/>
        </w:rPr>
        <w:t>spécialisées et d'aide aux victimes</w:t>
      </w:r>
    </w:p>
    <w:p w:rsidR="00631920" w:rsidRPr="00631920" w:rsidRDefault="00631920" w:rsidP="005D3364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Le Poids des maux</w:t>
      </w:r>
    </w:p>
    <w:p w:rsidR="00631920" w:rsidRPr="00631920" w:rsidRDefault="00631920" w:rsidP="005D3364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802C89" w:rsidRPr="00631920" w:rsidRDefault="00802C89" w:rsidP="00802C89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CF7564" w:rsidRPr="00631920" w:rsidRDefault="00802C89" w:rsidP="00802C89">
      <w:pPr>
        <w:pStyle w:val="Paragraphedeliste"/>
        <w:numPr>
          <w:ilvl w:val="0"/>
          <w:numId w:val="1"/>
        </w:numPr>
        <w:spacing w:after="0" w:line="240" w:lineRule="auto"/>
        <w:rPr>
          <w:rFonts w:ascii="Century Gothic" w:hAnsi="Century Gothic"/>
          <w:b/>
          <w:smallCaps/>
          <w:color w:val="403152" w:themeColor="accent4" w:themeShade="80"/>
          <w:sz w:val="20"/>
          <w:szCs w:val="20"/>
        </w:rPr>
      </w:pPr>
      <w:r w:rsidRPr="00631920">
        <w:rPr>
          <w:rFonts w:ascii="Century Gothic" w:hAnsi="Century Gothic"/>
          <w:b/>
          <w:smallCaps/>
          <w:color w:val="403152" w:themeColor="accent4" w:themeShade="80"/>
          <w:sz w:val="20"/>
          <w:szCs w:val="20"/>
        </w:rPr>
        <w:t xml:space="preserve">Objet et finalité de </w:t>
      </w:r>
      <w:r w:rsidR="00631920" w:rsidRPr="00631920">
        <w:rPr>
          <w:rFonts w:ascii="Century Gothic" w:hAnsi="Century Gothic"/>
          <w:b/>
          <w:smallCaps/>
          <w:color w:val="403152" w:themeColor="accent4" w:themeShade="80"/>
          <w:sz w:val="20"/>
          <w:szCs w:val="20"/>
        </w:rPr>
        <w:t>l'étude</w:t>
      </w:r>
    </w:p>
    <w:p w:rsidR="00802C89" w:rsidRPr="00631920" w:rsidRDefault="00802C89" w:rsidP="00802C89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802C89" w:rsidRPr="00631920" w:rsidRDefault="00802C89" w:rsidP="00802C89">
      <w:pPr>
        <w:spacing w:after="0" w:line="240" w:lineRule="auto"/>
        <w:rPr>
          <w:rFonts w:ascii="Century Gothic" w:hAnsi="Century Gothic"/>
          <w:sz w:val="20"/>
          <w:szCs w:val="20"/>
          <w:u w:val="single"/>
        </w:rPr>
      </w:pPr>
      <w:r w:rsidRPr="00631920">
        <w:rPr>
          <w:rFonts w:ascii="Century Gothic" w:hAnsi="Century Gothic"/>
          <w:sz w:val="20"/>
          <w:szCs w:val="20"/>
          <w:u w:val="single"/>
        </w:rPr>
        <w:t>Objet</w:t>
      </w:r>
    </w:p>
    <w:p w:rsidR="00802C89" w:rsidRPr="00631920" w:rsidRDefault="00802C89" w:rsidP="00802C89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802C89" w:rsidRPr="00631920" w:rsidRDefault="00802C89" w:rsidP="00802C89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631920">
        <w:rPr>
          <w:rFonts w:ascii="Century Gothic" w:hAnsi="Century Gothic"/>
          <w:sz w:val="20"/>
          <w:szCs w:val="20"/>
        </w:rPr>
        <w:t>L'enquête ne cherche ni à mesurer les violences faites aux femmes ni à en expliquer les mécanismes. Elle s'intéresse à la manière dont les femmes victimes entrent dans un parcours de prise en charge</w:t>
      </w:r>
      <w:r w:rsidR="003A3FF6">
        <w:rPr>
          <w:rFonts w:ascii="Century Gothic" w:hAnsi="Century Gothic"/>
          <w:sz w:val="20"/>
          <w:szCs w:val="20"/>
        </w:rPr>
        <w:t xml:space="preserve"> ou non</w:t>
      </w:r>
      <w:r w:rsidRPr="00631920">
        <w:rPr>
          <w:rFonts w:ascii="Century Gothic" w:hAnsi="Century Gothic"/>
          <w:sz w:val="20"/>
          <w:szCs w:val="20"/>
        </w:rPr>
        <w:t>,</w:t>
      </w:r>
      <w:r w:rsidR="003A3FF6">
        <w:rPr>
          <w:rFonts w:ascii="Century Gothic" w:hAnsi="Century Gothic"/>
          <w:sz w:val="20"/>
          <w:szCs w:val="20"/>
        </w:rPr>
        <w:t xml:space="preserve"> et</w:t>
      </w:r>
      <w:r w:rsidRPr="00631920">
        <w:rPr>
          <w:rFonts w:ascii="Century Gothic" w:hAnsi="Century Gothic"/>
          <w:sz w:val="20"/>
          <w:szCs w:val="20"/>
        </w:rPr>
        <w:t xml:space="preserve"> quels sont leurs besoins couverts et non-couverts, et ce, dans les différents domaines d'accompagnement possibles : judiciaire, s</w:t>
      </w:r>
      <w:r w:rsidR="00480579">
        <w:rPr>
          <w:rFonts w:ascii="Century Gothic" w:hAnsi="Century Gothic"/>
          <w:sz w:val="20"/>
          <w:szCs w:val="20"/>
        </w:rPr>
        <w:t>anitaire, social, psycho-social</w:t>
      </w:r>
      <w:r w:rsidRPr="00631920">
        <w:rPr>
          <w:rFonts w:ascii="Century Gothic" w:hAnsi="Century Gothic"/>
          <w:sz w:val="20"/>
          <w:szCs w:val="20"/>
        </w:rPr>
        <w:t xml:space="preserve"> ou</w:t>
      </w:r>
      <w:r w:rsidR="00480579">
        <w:rPr>
          <w:rFonts w:ascii="Century Gothic" w:hAnsi="Century Gothic"/>
          <w:sz w:val="20"/>
          <w:szCs w:val="20"/>
        </w:rPr>
        <w:t xml:space="preserve"> sur le plan de la parentalité…</w:t>
      </w:r>
    </w:p>
    <w:p w:rsidR="00802C89" w:rsidRDefault="00802C89" w:rsidP="00802C89">
      <w:pPr>
        <w:spacing w:after="0" w:line="240" w:lineRule="auto"/>
        <w:jc w:val="both"/>
      </w:pPr>
    </w:p>
    <w:p w:rsidR="00802C89" w:rsidRPr="00631920" w:rsidRDefault="00802C89" w:rsidP="00631920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631920">
        <w:rPr>
          <w:rFonts w:ascii="Century Gothic" w:hAnsi="Century Gothic"/>
          <w:sz w:val="20"/>
          <w:szCs w:val="20"/>
        </w:rPr>
        <w:t xml:space="preserve">Il s'agit bien de qualifier le </w:t>
      </w:r>
      <w:r w:rsidR="00631920">
        <w:rPr>
          <w:rFonts w:ascii="Century Gothic" w:hAnsi="Century Gothic"/>
          <w:sz w:val="20"/>
          <w:szCs w:val="20"/>
        </w:rPr>
        <w:t>vécu</w:t>
      </w:r>
      <w:r w:rsidRPr="00631920">
        <w:rPr>
          <w:rFonts w:ascii="Century Gothic" w:hAnsi="Century Gothic"/>
          <w:sz w:val="20"/>
          <w:szCs w:val="20"/>
        </w:rPr>
        <w:t xml:space="preserve"> des victimes dans les différentes étapes de leurs parcours, qu'elles aient eu rec</w:t>
      </w:r>
      <w:r w:rsidR="00480579">
        <w:rPr>
          <w:rFonts w:ascii="Century Gothic" w:hAnsi="Century Gothic"/>
          <w:sz w:val="20"/>
          <w:szCs w:val="20"/>
        </w:rPr>
        <w:t>ours à un suivi institutionnel,</w:t>
      </w:r>
      <w:r w:rsidRPr="00631920">
        <w:rPr>
          <w:rFonts w:ascii="Century Gothic" w:hAnsi="Century Gothic"/>
          <w:sz w:val="20"/>
          <w:szCs w:val="20"/>
        </w:rPr>
        <w:t xml:space="preserve"> associatif</w:t>
      </w:r>
      <w:r w:rsidR="003A3FF6">
        <w:rPr>
          <w:rFonts w:ascii="Century Gothic" w:hAnsi="Century Gothic"/>
          <w:sz w:val="20"/>
          <w:szCs w:val="20"/>
        </w:rPr>
        <w:t xml:space="preserve"> ou qu'elles y aient renoncées</w:t>
      </w:r>
      <w:r w:rsidRPr="00631920">
        <w:rPr>
          <w:rFonts w:ascii="Century Gothic" w:hAnsi="Century Gothic"/>
          <w:sz w:val="20"/>
          <w:szCs w:val="20"/>
        </w:rPr>
        <w:t xml:space="preserve">. </w:t>
      </w:r>
    </w:p>
    <w:p w:rsidR="00802C89" w:rsidRPr="00631920" w:rsidRDefault="00802C89" w:rsidP="00631920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802C89" w:rsidRPr="00631920" w:rsidRDefault="00802C89" w:rsidP="00631920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631920">
        <w:rPr>
          <w:rFonts w:ascii="Century Gothic" w:hAnsi="Century Gothic"/>
          <w:sz w:val="20"/>
          <w:szCs w:val="20"/>
        </w:rPr>
        <w:t xml:space="preserve">L’enquête s’interroge également : </w:t>
      </w:r>
    </w:p>
    <w:p w:rsidR="00802C89" w:rsidRPr="00631920" w:rsidRDefault="00802C89" w:rsidP="00631920">
      <w:pPr>
        <w:pStyle w:val="Default"/>
        <w:numPr>
          <w:ilvl w:val="0"/>
          <w:numId w:val="2"/>
        </w:numPr>
        <w:spacing w:after="30"/>
        <w:jc w:val="both"/>
        <w:rPr>
          <w:rFonts w:ascii="Century Gothic" w:hAnsi="Century Gothic"/>
          <w:sz w:val="20"/>
          <w:szCs w:val="20"/>
        </w:rPr>
      </w:pPr>
      <w:r w:rsidRPr="00631920">
        <w:rPr>
          <w:rFonts w:ascii="Century Gothic" w:hAnsi="Century Gothic"/>
          <w:sz w:val="20"/>
          <w:szCs w:val="20"/>
        </w:rPr>
        <w:t>Sur la ré</w:t>
      </w:r>
      <w:r w:rsidR="00631920">
        <w:rPr>
          <w:rFonts w:ascii="Century Gothic" w:hAnsi="Century Gothic"/>
          <w:sz w:val="20"/>
          <w:szCs w:val="20"/>
        </w:rPr>
        <w:t xml:space="preserve">action des personnes suite à une </w:t>
      </w:r>
      <w:r w:rsidRPr="00631920">
        <w:rPr>
          <w:rFonts w:ascii="Century Gothic" w:hAnsi="Century Gothic"/>
          <w:sz w:val="20"/>
          <w:szCs w:val="20"/>
        </w:rPr>
        <w:t>situation de violence</w:t>
      </w:r>
      <w:r w:rsidR="00631920">
        <w:rPr>
          <w:rFonts w:ascii="Century Gothic" w:hAnsi="Century Gothic"/>
          <w:sz w:val="20"/>
          <w:szCs w:val="20"/>
        </w:rPr>
        <w:t xml:space="preserve"> subie</w:t>
      </w:r>
      <w:r w:rsidRPr="00631920">
        <w:rPr>
          <w:rFonts w:ascii="Century Gothic" w:hAnsi="Century Gothic"/>
          <w:sz w:val="20"/>
          <w:szCs w:val="20"/>
        </w:rPr>
        <w:t xml:space="preserve"> et </w:t>
      </w:r>
      <w:r w:rsidR="00631920">
        <w:rPr>
          <w:rFonts w:ascii="Century Gothic" w:hAnsi="Century Gothic"/>
          <w:sz w:val="20"/>
          <w:szCs w:val="20"/>
        </w:rPr>
        <w:t xml:space="preserve"> l</w:t>
      </w:r>
      <w:r w:rsidRPr="00631920">
        <w:rPr>
          <w:rFonts w:ascii="Century Gothic" w:hAnsi="Century Gothic"/>
          <w:sz w:val="20"/>
          <w:szCs w:val="20"/>
        </w:rPr>
        <w:t>a mise en place de stratégies pour l’affronter</w:t>
      </w:r>
    </w:p>
    <w:p w:rsidR="00802C89" w:rsidRDefault="00802C89" w:rsidP="00631920">
      <w:pPr>
        <w:pStyle w:val="Default"/>
        <w:numPr>
          <w:ilvl w:val="0"/>
          <w:numId w:val="2"/>
        </w:numPr>
        <w:spacing w:after="30"/>
        <w:jc w:val="both"/>
        <w:rPr>
          <w:rFonts w:ascii="Century Gothic" w:hAnsi="Century Gothic"/>
          <w:sz w:val="20"/>
          <w:szCs w:val="20"/>
        </w:rPr>
      </w:pPr>
      <w:r w:rsidRPr="00631920">
        <w:rPr>
          <w:rFonts w:ascii="Century Gothic" w:hAnsi="Century Gothic"/>
          <w:sz w:val="20"/>
          <w:szCs w:val="20"/>
        </w:rPr>
        <w:t>Sur la manière dont elles ont cherché soutien, accompagnement ou réparation</w:t>
      </w:r>
    </w:p>
    <w:p w:rsidR="003A3FF6" w:rsidRPr="00631920" w:rsidRDefault="003A3FF6" w:rsidP="00631920">
      <w:pPr>
        <w:pStyle w:val="Default"/>
        <w:numPr>
          <w:ilvl w:val="0"/>
          <w:numId w:val="2"/>
        </w:numPr>
        <w:spacing w:after="3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Sur les raisons expliquant le renoncement des victimes à rechercher une prise ne charge</w:t>
      </w:r>
    </w:p>
    <w:p w:rsidR="00802C89" w:rsidRPr="00631920" w:rsidRDefault="00802C89" w:rsidP="00631920">
      <w:pPr>
        <w:pStyle w:val="Default"/>
        <w:numPr>
          <w:ilvl w:val="0"/>
          <w:numId w:val="2"/>
        </w:numPr>
        <w:spacing w:after="30"/>
        <w:jc w:val="both"/>
        <w:rPr>
          <w:rFonts w:ascii="Century Gothic" w:hAnsi="Century Gothic"/>
          <w:sz w:val="20"/>
          <w:szCs w:val="20"/>
        </w:rPr>
      </w:pPr>
      <w:r w:rsidRPr="00631920">
        <w:rPr>
          <w:rFonts w:ascii="Century Gothic" w:hAnsi="Century Gothic"/>
          <w:sz w:val="20"/>
          <w:szCs w:val="20"/>
        </w:rPr>
        <w:t xml:space="preserve">Sur la perception de l'accueil reçu et des différentes formes de prises en charge </w:t>
      </w:r>
    </w:p>
    <w:p w:rsidR="00802C89" w:rsidRPr="00631920" w:rsidRDefault="00802C89" w:rsidP="00631920">
      <w:pPr>
        <w:spacing w:after="0" w:line="240" w:lineRule="auto"/>
        <w:jc w:val="both"/>
        <w:rPr>
          <w:rFonts w:ascii="Century Gothic" w:hAnsi="Century Gothic"/>
          <w:color w:val="1F497D"/>
          <w:sz w:val="20"/>
          <w:szCs w:val="20"/>
        </w:rPr>
      </w:pPr>
    </w:p>
    <w:p w:rsidR="00802C89" w:rsidRDefault="005D3364" w:rsidP="00631920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La diversité (</w:t>
      </w:r>
      <w:r w:rsidRPr="005D3364">
        <w:rPr>
          <w:rFonts w:ascii="Century Gothic" w:hAnsi="Century Gothic"/>
          <w:sz w:val="20"/>
          <w:szCs w:val="20"/>
        </w:rPr>
        <w:t>âge, orientation sexuelle, origine géographique, statut administratif…)</w:t>
      </w:r>
      <w:r>
        <w:rPr>
          <w:rFonts w:ascii="Century Gothic" w:hAnsi="Century Gothic"/>
          <w:sz w:val="20"/>
          <w:szCs w:val="20"/>
        </w:rPr>
        <w:t xml:space="preserve"> des victimes interrogées ou rencontrées, est aussi une donnée importante pour saisir la diversité des situations des personnes concernées.</w:t>
      </w:r>
    </w:p>
    <w:p w:rsidR="005D3364" w:rsidRPr="005D3364" w:rsidRDefault="005D3364" w:rsidP="00631920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5D3364" w:rsidRPr="00631920" w:rsidRDefault="005D3364" w:rsidP="00631920">
      <w:pPr>
        <w:spacing w:after="0" w:line="240" w:lineRule="auto"/>
        <w:jc w:val="both"/>
        <w:rPr>
          <w:rFonts w:ascii="Century Gothic" w:hAnsi="Century Gothic"/>
          <w:color w:val="1F497D"/>
          <w:sz w:val="20"/>
          <w:szCs w:val="20"/>
        </w:rPr>
      </w:pPr>
    </w:p>
    <w:p w:rsidR="00802C89" w:rsidRPr="00631920" w:rsidRDefault="00802C89" w:rsidP="00631920">
      <w:pPr>
        <w:spacing w:after="0" w:line="240" w:lineRule="auto"/>
        <w:jc w:val="both"/>
        <w:rPr>
          <w:rFonts w:ascii="Century Gothic" w:hAnsi="Century Gothic"/>
          <w:color w:val="403152" w:themeColor="accent4" w:themeShade="80"/>
          <w:sz w:val="20"/>
          <w:szCs w:val="20"/>
          <w:u w:val="single"/>
        </w:rPr>
      </w:pPr>
      <w:r w:rsidRPr="00631920">
        <w:rPr>
          <w:rFonts w:ascii="Century Gothic" w:hAnsi="Century Gothic"/>
          <w:color w:val="403152" w:themeColor="accent4" w:themeShade="80"/>
          <w:sz w:val="20"/>
          <w:szCs w:val="20"/>
          <w:u w:val="single"/>
        </w:rPr>
        <w:t>Finalité</w:t>
      </w:r>
    </w:p>
    <w:p w:rsidR="00631920" w:rsidRPr="00631920" w:rsidRDefault="00631920" w:rsidP="00631920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631920" w:rsidRPr="00631920" w:rsidRDefault="00631920" w:rsidP="00631920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631920">
        <w:rPr>
          <w:rFonts w:ascii="Century Gothic" w:hAnsi="Century Gothic"/>
          <w:sz w:val="20"/>
          <w:szCs w:val="20"/>
        </w:rPr>
        <w:t xml:space="preserve">L’étude aura donc pour finalité de : </w:t>
      </w:r>
    </w:p>
    <w:p w:rsidR="00631920" w:rsidRDefault="00631920" w:rsidP="00631920">
      <w:pPr>
        <w:pStyle w:val="Default"/>
        <w:numPr>
          <w:ilvl w:val="0"/>
          <w:numId w:val="3"/>
        </w:numPr>
        <w:spacing w:after="30"/>
        <w:jc w:val="both"/>
        <w:rPr>
          <w:rFonts w:ascii="Century Gothic" w:hAnsi="Century Gothic"/>
          <w:sz w:val="20"/>
          <w:szCs w:val="20"/>
        </w:rPr>
      </w:pPr>
      <w:r w:rsidRPr="00631920">
        <w:rPr>
          <w:rFonts w:ascii="Century Gothic" w:hAnsi="Century Gothic"/>
          <w:sz w:val="20"/>
          <w:szCs w:val="20"/>
        </w:rPr>
        <w:t xml:space="preserve">Révéler </w:t>
      </w:r>
      <w:r>
        <w:rPr>
          <w:rFonts w:ascii="Century Gothic" w:hAnsi="Century Gothic"/>
          <w:sz w:val="20"/>
          <w:szCs w:val="20"/>
        </w:rPr>
        <w:t>les parcours des femmes victimes à Rennes, les difficultés et opportunités ;</w:t>
      </w:r>
      <w:r w:rsidRPr="00631920">
        <w:rPr>
          <w:rFonts w:ascii="Century Gothic" w:hAnsi="Century Gothic"/>
          <w:sz w:val="20"/>
          <w:szCs w:val="20"/>
        </w:rPr>
        <w:t xml:space="preserve"> </w:t>
      </w:r>
    </w:p>
    <w:p w:rsidR="00631920" w:rsidRPr="00631920" w:rsidRDefault="00631920" w:rsidP="00631920">
      <w:pPr>
        <w:pStyle w:val="Default"/>
        <w:numPr>
          <w:ilvl w:val="0"/>
          <w:numId w:val="3"/>
        </w:numPr>
        <w:spacing w:after="30"/>
        <w:jc w:val="both"/>
        <w:rPr>
          <w:rFonts w:ascii="Century Gothic" w:hAnsi="Century Gothic"/>
          <w:sz w:val="20"/>
          <w:szCs w:val="20"/>
        </w:rPr>
      </w:pPr>
      <w:r w:rsidRPr="00631920">
        <w:rPr>
          <w:rFonts w:ascii="Century Gothic" w:hAnsi="Century Gothic"/>
          <w:sz w:val="20"/>
          <w:szCs w:val="20"/>
        </w:rPr>
        <w:t>Orienter l'action</w:t>
      </w:r>
      <w:r>
        <w:rPr>
          <w:rFonts w:ascii="Century Gothic" w:hAnsi="Century Gothic"/>
          <w:sz w:val="20"/>
          <w:szCs w:val="20"/>
        </w:rPr>
        <w:t xml:space="preserve"> publique dans sa conception, notamment dans le cadre de l</w:t>
      </w:r>
      <w:r w:rsidRPr="00631920">
        <w:rPr>
          <w:rFonts w:ascii="Century Gothic" w:hAnsi="Century Gothic"/>
          <w:sz w:val="20"/>
          <w:szCs w:val="20"/>
        </w:rPr>
        <w:t xml:space="preserve">a mise en </w:t>
      </w:r>
      <w:r>
        <w:rPr>
          <w:rFonts w:ascii="Century Gothic" w:hAnsi="Century Gothic"/>
          <w:sz w:val="20"/>
          <w:szCs w:val="20"/>
        </w:rPr>
        <w:t>œuvre d'un lieu d'accueil des femmes victimes de violences ;</w:t>
      </w:r>
    </w:p>
    <w:p w:rsidR="00631920" w:rsidRPr="00587974" w:rsidRDefault="00631920" w:rsidP="00631920">
      <w:pPr>
        <w:spacing w:after="0" w:line="240" w:lineRule="auto"/>
        <w:jc w:val="both"/>
        <w:rPr>
          <w:rFonts w:ascii="Century Gothic" w:hAnsi="Century Gothic"/>
          <w:b/>
          <w:smallCaps/>
          <w:color w:val="403152" w:themeColor="accent4" w:themeShade="80"/>
          <w:sz w:val="20"/>
          <w:szCs w:val="20"/>
        </w:rPr>
      </w:pPr>
    </w:p>
    <w:p w:rsidR="00631920" w:rsidRPr="00587974" w:rsidRDefault="00631920" w:rsidP="00631920">
      <w:pPr>
        <w:spacing w:after="0" w:line="240" w:lineRule="auto"/>
        <w:jc w:val="both"/>
        <w:rPr>
          <w:rFonts w:ascii="Century Gothic" w:hAnsi="Century Gothic"/>
          <w:b/>
          <w:smallCaps/>
          <w:color w:val="403152" w:themeColor="accent4" w:themeShade="80"/>
          <w:sz w:val="20"/>
          <w:szCs w:val="20"/>
        </w:rPr>
      </w:pPr>
    </w:p>
    <w:p w:rsidR="00631920" w:rsidRPr="00587974" w:rsidRDefault="00631920" w:rsidP="00631920">
      <w:pPr>
        <w:pStyle w:val="Default"/>
        <w:numPr>
          <w:ilvl w:val="0"/>
          <w:numId w:val="1"/>
        </w:numPr>
        <w:rPr>
          <w:rFonts w:ascii="Century Gothic" w:hAnsi="Century Gothic"/>
          <w:b/>
          <w:smallCaps/>
          <w:color w:val="403152" w:themeColor="accent4" w:themeShade="80"/>
          <w:sz w:val="20"/>
          <w:szCs w:val="20"/>
        </w:rPr>
      </w:pPr>
      <w:r w:rsidRPr="00587974">
        <w:rPr>
          <w:rFonts w:ascii="Century Gothic" w:hAnsi="Century Gothic"/>
          <w:b/>
          <w:smallCaps/>
          <w:color w:val="403152" w:themeColor="accent4" w:themeShade="80"/>
          <w:sz w:val="20"/>
          <w:szCs w:val="20"/>
        </w:rPr>
        <w:t>Suivi de l'étude</w:t>
      </w:r>
    </w:p>
    <w:p w:rsidR="00631920" w:rsidRPr="00587974" w:rsidRDefault="00631920" w:rsidP="00631920">
      <w:pPr>
        <w:pStyle w:val="Default"/>
        <w:rPr>
          <w:rFonts w:ascii="Century Gothic" w:hAnsi="Century Gothic"/>
          <w:b/>
          <w:smallCaps/>
          <w:color w:val="403152" w:themeColor="accent4" w:themeShade="80"/>
          <w:sz w:val="20"/>
          <w:szCs w:val="20"/>
        </w:rPr>
      </w:pPr>
    </w:p>
    <w:p w:rsidR="00631920" w:rsidRDefault="00AC76DC" w:rsidP="00631920">
      <w:pPr>
        <w:pStyle w:val="Defaul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Groupe de suivi </w:t>
      </w:r>
      <w:r w:rsidR="007B249B">
        <w:rPr>
          <w:rFonts w:ascii="Century Gothic" w:hAnsi="Century Gothic"/>
          <w:sz w:val="20"/>
          <w:szCs w:val="20"/>
        </w:rPr>
        <w:t xml:space="preserve">: composé de représentants de la collectivité rennaise.  </w:t>
      </w:r>
    </w:p>
    <w:p w:rsidR="007B249B" w:rsidRDefault="007B249B" w:rsidP="00631920">
      <w:pPr>
        <w:pStyle w:val="Default"/>
        <w:rPr>
          <w:rFonts w:ascii="Century Gothic" w:hAnsi="Century Gothic"/>
          <w:sz w:val="20"/>
          <w:szCs w:val="20"/>
        </w:rPr>
      </w:pPr>
    </w:p>
    <w:p w:rsidR="007B249B" w:rsidRDefault="007B249B" w:rsidP="00631920">
      <w:pPr>
        <w:pStyle w:val="Defaul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Une à plusieurs rencontres intermédiaires pourront être mise en place avant le rendu final, en accord avec le porteur de l'enquête.</w:t>
      </w:r>
      <w:bookmarkStart w:id="0" w:name="_GoBack"/>
      <w:bookmarkEnd w:id="0"/>
    </w:p>
    <w:p w:rsidR="00AC76DC" w:rsidRDefault="00AC76DC" w:rsidP="00631920">
      <w:pPr>
        <w:pStyle w:val="Default"/>
        <w:rPr>
          <w:rFonts w:ascii="Century Gothic" w:hAnsi="Century Gothic"/>
          <w:sz w:val="20"/>
          <w:szCs w:val="20"/>
        </w:rPr>
      </w:pPr>
    </w:p>
    <w:p w:rsidR="00AC76DC" w:rsidRPr="003A3FF6" w:rsidRDefault="00AC76DC" w:rsidP="00631920">
      <w:pPr>
        <w:pStyle w:val="Default"/>
        <w:rPr>
          <w:rFonts w:ascii="Century Gothic" w:hAnsi="Century Gothic"/>
          <w:color w:val="5F497A" w:themeColor="accent4" w:themeShade="BF"/>
          <w:sz w:val="20"/>
          <w:szCs w:val="20"/>
        </w:rPr>
      </w:pPr>
    </w:p>
    <w:p w:rsidR="00631920" w:rsidRPr="003A3FF6" w:rsidRDefault="00631920" w:rsidP="00631920">
      <w:pPr>
        <w:pStyle w:val="Default"/>
        <w:numPr>
          <w:ilvl w:val="0"/>
          <w:numId w:val="1"/>
        </w:numPr>
        <w:rPr>
          <w:rFonts w:ascii="Century Gothic" w:hAnsi="Century Gothic"/>
          <w:b/>
          <w:smallCaps/>
          <w:color w:val="5F497A" w:themeColor="accent4" w:themeShade="BF"/>
          <w:sz w:val="20"/>
          <w:szCs w:val="20"/>
        </w:rPr>
      </w:pPr>
      <w:r w:rsidRPr="003A3FF6">
        <w:rPr>
          <w:rFonts w:ascii="Century Gothic" w:hAnsi="Century Gothic"/>
          <w:b/>
          <w:bCs/>
          <w:smallCaps/>
          <w:color w:val="5F497A" w:themeColor="accent4" w:themeShade="BF"/>
          <w:sz w:val="20"/>
          <w:szCs w:val="20"/>
        </w:rPr>
        <w:t xml:space="preserve">Restitution </w:t>
      </w:r>
    </w:p>
    <w:p w:rsidR="00587974" w:rsidRPr="00587974" w:rsidRDefault="00587974" w:rsidP="00631920">
      <w:pPr>
        <w:pStyle w:val="Default"/>
        <w:rPr>
          <w:rFonts w:ascii="Century Gothic" w:hAnsi="Century Gothic"/>
          <w:sz w:val="20"/>
          <w:szCs w:val="20"/>
        </w:rPr>
      </w:pPr>
    </w:p>
    <w:p w:rsidR="00631920" w:rsidRPr="007B249B" w:rsidRDefault="00631920" w:rsidP="00587974">
      <w:pPr>
        <w:pStyle w:val="Default"/>
        <w:jc w:val="both"/>
        <w:rPr>
          <w:rFonts w:ascii="Century Gothic" w:hAnsi="Century Gothic"/>
          <w:color w:val="auto"/>
          <w:sz w:val="20"/>
          <w:szCs w:val="20"/>
        </w:rPr>
      </w:pPr>
      <w:r w:rsidRPr="00587974">
        <w:rPr>
          <w:rFonts w:ascii="Century Gothic" w:hAnsi="Century Gothic"/>
          <w:sz w:val="20"/>
          <w:szCs w:val="20"/>
        </w:rPr>
        <w:t>Le prestataire doit inclure dans sa prestat</w:t>
      </w:r>
      <w:r w:rsidR="00587974" w:rsidRPr="00587974">
        <w:rPr>
          <w:rFonts w:ascii="Century Gothic" w:hAnsi="Century Gothic"/>
          <w:sz w:val="20"/>
          <w:szCs w:val="20"/>
        </w:rPr>
        <w:t xml:space="preserve">ion des temps de restitutions.  </w:t>
      </w:r>
      <w:r w:rsidRPr="00587974">
        <w:rPr>
          <w:rFonts w:ascii="Century Gothic" w:hAnsi="Century Gothic"/>
          <w:sz w:val="20"/>
          <w:szCs w:val="20"/>
        </w:rPr>
        <w:t>Outre les temps de restitution auprès des commanditaires (</w:t>
      </w:r>
      <w:r w:rsidR="00587974" w:rsidRPr="00587974">
        <w:rPr>
          <w:rFonts w:ascii="Century Gothic" w:hAnsi="Century Gothic"/>
          <w:sz w:val="20"/>
          <w:szCs w:val="20"/>
        </w:rPr>
        <w:t>comité technique</w:t>
      </w:r>
      <w:r w:rsidRPr="00587974">
        <w:rPr>
          <w:rFonts w:ascii="Century Gothic" w:hAnsi="Century Gothic"/>
          <w:sz w:val="20"/>
          <w:szCs w:val="20"/>
        </w:rPr>
        <w:t>, élu.es …), il est nécessaire de prévoir des temps de restitution a</w:t>
      </w:r>
      <w:r w:rsidR="00587974" w:rsidRPr="00587974">
        <w:rPr>
          <w:rFonts w:ascii="Century Gothic" w:hAnsi="Century Gothic"/>
          <w:sz w:val="20"/>
          <w:szCs w:val="20"/>
        </w:rPr>
        <w:t>u sein du réseau interprofessionnel de lutte contre les violences faites aux femmes. L</w:t>
      </w:r>
      <w:r w:rsidRPr="00587974">
        <w:rPr>
          <w:rFonts w:ascii="Century Gothic" w:hAnsi="Century Gothic"/>
          <w:sz w:val="20"/>
          <w:szCs w:val="20"/>
        </w:rPr>
        <w:t xml:space="preserve">a manière dont pourront être retransmis au cours de ces restitutions les résultats de </w:t>
      </w:r>
      <w:r w:rsidR="00587974" w:rsidRPr="00587974">
        <w:rPr>
          <w:rFonts w:ascii="Century Gothic" w:hAnsi="Century Gothic"/>
          <w:sz w:val="20"/>
          <w:szCs w:val="20"/>
        </w:rPr>
        <w:t xml:space="preserve">l'étude devra être pensée dès l'origine, de manière détaillée, mais aussi </w:t>
      </w:r>
      <w:r w:rsidRPr="00587974">
        <w:rPr>
          <w:rFonts w:ascii="Century Gothic" w:hAnsi="Century Gothic"/>
          <w:sz w:val="20"/>
          <w:szCs w:val="20"/>
        </w:rPr>
        <w:t>sous une forme facilement compréhensible (infogr</w:t>
      </w:r>
      <w:r w:rsidR="00587974" w:rsidRPr="00587974">
        <w:rPr>
          <w:rFonts w:ascii="Century Gothic" w:hAnsi="Century Gothic"/>
          <w:sz w:val="20"/>
          <w:szCs w:val="20"/>
        </w:rPr>
        <w:t xml:space="preserve">aphie, </w:t>
      </w:r>
      <w:r w:rsidR="00587974" w:rsidRPr="007B249B">
        <w:rPr>
          <w:rFonts w:ascii="Century Gothic" w:hAnsi="Century Gothic"/>
          <w:color w:val="auto"/>
          <w:sz w:val="20"/>
          <w:szCs w:val="20"/>
        </w:rPr>
        <w:t xml:space="preserve">facilitation graphique, </w:t>
      </w:r>
      <w:r w:rsidRPr="007B249B">
        <w:rPr>
          <w:rFonts w:ascii="Century Gothic" w:hAnsi="Century Gothic"/>
          <w:color w:val="auto"/>
          <w:sz w:val="20"/>
          <w:szCs w:val="20"/>
        </w:rPr>
        <w:t>…)</w:t>
      </w:r>
    </w:p>
    <w:p w:rsidR="00631920" w:rsidRPr="007B249B" w:rsidRDefault="00631920" w:rsidP="00802C89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32484B" w:rsidRPr="007B249B" w:rsidRDefault="0032484B" w:rsidP="00802C89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7B249B">
        <w:rPr>
          <w:rFonts w:ascii="Century Gothic" w:hAnsi="Century Gothic"/>
          <w:sz w:val="20"/>
          <w:szCs w:val="20"/>
        </w:rPr>
        <w:t>La restitution des travaux est attendu pour la fin du mois de juin.</w:t>
      </w:r>
    </w:p>
    <w:p w:rsidR="0032484B" w:rsidRPr="00587974" w:rsidRDefault="0032484B" w:rsidP="00802C89">
      <w:pPr>
        <w:spacing w:after="0" w:line="240" w:lineRule="auto"/>
        <w:rPr>
          <w:rFonts w:ascii="Century Gothic" w:hAnsi="Century Gothic"/>
          <w:color w:val="1F497D"/>
          <w:sz w:val="20"/>
          <w:szCs w:val="20"/>
        </w:rPr>
      </w:pPr>
    </w:p>
    <w:p w:rsidR="00587974" w:rsidRPr="00587974" w:rsidRDefault="00587974" w:rsidP="00802C89">
      <w:pPr>
        <w:spacing w:after="0" w:line="240" w:lineRule="auto"/>
        <w:rPr>
          <w:rFonts w:ascii="Century Gothic" w:hAnsi="Century Gothic"/>
          <w:color w:val="403152" w:themeColor="accent4" w:themeShade="80"/>
          <w:sz w:val="20"/>
          <w:szCs w:val="20"/>
        </w:rPr>
      </w:pPr>
    </w:p>
    <w:p w:rsidR="00587974" w:rsidRPr="00587974" w:rsidRDefault="00587974" w:rsidP="00587974">
      <w:pPr>
        <w:pStyle w:val="Paragraphedeliste"/>
        <w:numPr>
          <w:ilvl w:val="0"/>
          <w:numId w:val="1"/>
        </w:numPr>
        <w:spacing w:after="0" w:line="240" w:lineRule="auto"/>
        <w:rPr>
          <w:rFonts w:ascii="Century Gothic" w:hAnsi="Century Gothic"/>
          <w:b/>
          <w:smallCaps/>
          <w:color w:val="403152" w:themeColor="accent4" w:themeShade="80"/>
          <w:sz w:val="20"/>
          <w:szCs w:val="20"/>
        </w:rPr>
      </w:pPr>
      <w:r w:rsidRPr="00587974">
        <w:rPr>
          <w:rFonts w:ascii="Century Gothic" w:hAnsi="Century Gothic"/>
          <w:b/>
          <w:smallCaps/>
          <w:color w:val="403152" w:themeColor="accent4" w:themeShade="80"/>
          <w:sz w:val="20"/>
          <w:szCs w:val="20"/>
        </w:rPr>
        <w:t>Modalités de réponse au cahier des charges</w:t>
      </w:r>
    </w:p>
    <w:p w:rsidR="00587974" w:rsidRPr="00587974" w:rsidRDefault="00587974" w:rsidP="00587974">
      <w:pPr>
        <w:pStyle w:val="Default"/>
        <w:rPr>
          <w:b/>
          <w:bCs/>
          <w:color w:val="403152" w:themeColor="accent4" w:themeShade="80"/>
          <w:sz w:val="28"/>
          <w:szCs w:val="28"/>
        </w:rPr>
      </w:pPr>
    </w:p>
    <w:p w:rsidR="00587974" w:rsidRPr="00587974" w:rsidRDefault="00587974" w:rsidP="00587974">
      <w:pPr>
        <w:pStyle w:val="Default"/>
        <w:rPr>
          <w:rFonts w:ascii="Century Gothic" w:hAnsi="Century Gothic"/>
          <w:color w:val="403152" w:themeColor="accent4" w:themeShade="80"/>
          <w:sz w:val="20"/>
          <w:szCs w:val="20"/>
        </w:rPr>
      </w:pPr>
      <w:r w:rsidRPr="00587974">
        <w:rPr>
          <w:rFonts w:ascii="Century Gothic" w:hAnsi="Century Gothic"/>
          <w:b/>
          <w:bCs/>
          <w:color w:val="403152" w:themeColor="accent4" w:themeShade="80"/>
          <w:sz w:val="20"/>
          <w:szCs w:val="20"/>
        </w:rPr>
        <w:t>Date limite de réception des offres :</w:t>
      </w:r>
      <w:r w:rsidR="0032484B">
        <w:rPr>
          <w:rFonts w:ascii="Century Gothic" w:hAnsi="Century Gothic"/>
          <w:b/>
          <w:bCs/>
          <w:color w:val="403152" w:themeColor="accent4" w:themeShade="80"/>
          <w:sz w:val="20"/>
          <w:szCs w:val="20"/>
        </w:rPr>
        <w:t xml:space="preserve"> 2 avril,</w:t>
      </w:r>
      <w:r w:rsidRPr="00587974">
        <w:rPr>
          <w:rFonts w:ascii="Century Gothic" w:hAnsi="Century Gothic"/>
          <w:b/>
          <w:bCs/>
          <w:color w:val="403152" w:themeColor="accent4" w:themeShade="80"/>
          <w:sz w:val="20"/>
          <w:szCs w:val="20"/>
        </w:rPr>
        <w:t xml:space="preserve"> </w:t>
      </w:r>
      <w:r w:rsidRPr="00587974">
        <w:rPr>
          <w:rFonts w:ascii="Century Gothic" w:hAnsi="Century Gothic"/>
          <w:color w:val="403152" w:themeColor="accent4" w:themeShade="80"/>
          <w:sz w:val="20"/>
          <w:szCs w:val="20"/>
        </w:rPr>
        <w:t xml:space="preserve">sous format électronique à </w:t>
      </w:r>
    </w:p>
    <w:p w:rsidR="00587974" w:rsidRPr="00587974" w:rsidRDefault="00587974" w:rsidP="00587974">
      <w:pPr>
        <w:pStyle w:val="Default"/>
        <w:ind w:firstLine="708"/>
        <w:rPr>
          <w:rFonts w:ascii="Century Gothic" w:hAnsi="Century Gothic"/>
          <w:color w:val="403152" w:themeColor="accent4" w:themeShade="80"/>
          <w:sz w:val="20"/>
          <w:szCs w:val="20"/>
        </w:rPr>
      </w:pPr>
      <w:r w:rsidRPr="00587974">
        <w:rPr>
          <w:rFonts w:ascii="Century Gothic" w:hAnsi="Century Gothic"/>
          <w:color w:val="403152" w:themeColor="accent4" w:themeShade="80"/>
          <w:sz w:val="20"/>
          <w:szCs w:val="20"/>
        </w:rPr>
        <w:t xml:space="preserve">Géraldine Guilpain </w:t>
      </w:r>
    </w:p>
    <w:p w:rsidR="00587974" w:rsidRPr="00587974" w:rsidRDefault="00587974" w:rsidP="00587974">
      <w:pPr>
        <w:pStyle w:val="Default"/>
        <w:ind w:left="708"/>
        <w:rPr>
          <w:rFonts w:ascii="Century Gothic" w:hAnsi="Century Gothic"/>
          <w:color w:val="403152" w:themeColor="accent4" w:themeShade="80"/>
          <w:sz w:val="20"/>
          <w:szCs w:val="20"/>
        </w:rPr>
      </w:pPr>
      <w:r w:rsidRPr="00587974">
        <w:rPr>
          <w:rFonts w:ascii="Century Gothic" w:hAnsi="Century Gothic"/>
          <w:color w:val="403152" w:themeColor="accent4" w:themeShade="80"/>
          <w:sz w:val="20"/>
          <w:szCs w:val="20"/>
        </w:rPr>
        <w:t>Chargée de mission Lutte contre les violences faites aux femmes – Service Prév</w:t>
      </w:r>
      <w:r>
        <w:rPr>
          <w:rFonts w:ascii="Century Gothic" w:hAnsi="Century Gothic"/>
          <w:color w:val="403152" w:themeColor="accent4" w:themeShade="80"/>
          <w:sz w:val="20"/>
          <w:szCs w:val="20"/>
        </w:rPr>
        <w:t>ention de la Délinquance Méd</w:t>
      </w:r>
      <w:r w:rsidRPr="00587974">
        <w:rPr>
          <w:rFonts w:ascii="Century Gothic" w:hAnsi="Century Gothic"/>
          <w:color w:val="403152" w:themeColor="accent4" w:themeShade="80"/>
          <w:sz w:val="20"/>
          <w:szCs w:val="20"/>
        </w:rPr>
        <w:t>i</w:t>
      </w:r>
      <w:r>
        <w:rPr>
          <w:rFonts w:ascii="Century Gothic" w:hAnsi="Century Gothic"/>
          <w:color w:val="403152" w:themeColor="accent4" w:themeShade="80"/>
          <w:sz w:val="20"/>
          <w:szCs w:val="20"/>
        </w:rPr>
        <w:t>a</w:t>
      </w:r>
      <w:r w:rsidRPr="00587974">
        <w:rPr>
          <w:rFonts w:ascii="Century Gothic" w:hAnsi="Century Gothic"/>
          <w:color w:val="403152" w:themeColor="accent4" w:themeShade="80"/>
          <w:sz w:val="20"/>
          <w:szCs w:val="20"/>
        </w:rPr>
        <w:t>tion</w:t>
      </w:r>
      <w:r>
        <w:rPr>
          <w:rFonts w:ascii="Century Gothic" w:hAnsi="Century Gothic"/>
          <w:color w:val="403152" w:themeColor="accent4" w:themeShade="80"/>
          <w:sz w:val="20"/>
          <w:szCs w:val="20"/>
        </w:rPr>
        <w:t>s</w:t>
      </w:r>
      <w:r w:rsidR="0032484B">
        <w:rPr>
          <w:rFonts w:ascii="Century Gothic" w:hAnsi="Century Gothic"/>
          <w:color w:val="403152" w:themeColor="accent4" w:themeShade="80"/>
          <w:sz w:val="20"/>
          <w:szCs w:val="20"/>
        </w:rPr>
        <w:t xml:space="preserve">, </w:t>
      </w:r>
      <w:hyperlink r:id="rId5" w:history="1">
        <w:r w:rsidR="0032484B" w:rsidRPr="00E91598">
          <w:rPr>
            <w:rStyle w:val="Lienhypertexte"/>
            <w:rFonts w:ascii="Century Gothic" w:hAnsi="Century Gothic"/>
            <w:sz w:val="20"/>
            <w:szCs w:val="20"/>
          </w:rPr>
          <w:t>g.guilpain@ville-rennes.fr</w:t>
        </w:r>
      </w:hyperlink>
      <w:r w:rsidR="0032484B">
        <w:rPr>
          <w:rFonts w:ascii="Century Gothic" w:hAnsi="Century Gothic"/>
          <w:color w:val="403152" w:themeColor="accent4" w:themeShade="80"/>
          <w:sz w:val="20"/>
          <w:szCs w:val="20"/>
        </w:rPr>
        <w:t xml:space="preserve"> / </w:t>
      </w:r>
      <w:hyperlink r:id="rId6" w:history="1">
        <w:r w:rsidR="0032484B" w:rsidRPr="00E91598">
          <w:rPr>
            <w:rStyle w:val="Lienhypertexte"/>
            <w:rFonts w:ascii="Century Gothic" w:hAnsi="Century Gothic"/>
            <w:sz w:val="20"/>
            <w:szCs w:val="20"/>
          </w:rPr>
          <w:t>spdm@ville-rennes.fr</w:t>
        </w:r>
      </w:hyperlink>
      <w:r w:rsidR="0032484B">
        <w:rPr>
          <w:rFonts w:ascii="Century Gothic" w:hAnsi="Century Gothic"/>
          <w:color w:val="403152" w:themeColor="accent4" w:themeShade="80"/>
          <w:sz w:val="20"/>
          <w:szCs w:val="20"/>
        </w:rPr>
        <w:t xml:space="preserve"> </w:t>
      </w:r>
    </w:p>
    <w:p w:rsidR="00587974" w:rsidRPr="00587974" w:rsidRDefault="00587974" w:rsidP="00587974">
      <w:pPr>
        <w:pStyle w:val="Default"/>
        <w:rPr>
          <w:rFonts w:ascii="Century Gothic" w:hAnsi="Century Gothic"/>
          <w:sz w:val="20"/>
          <w:szCs w:val="20"/>
        </w:rPr>
      </w:pPr>
    </w:p>
    <w:p w:rsidR="00587974" w:rsidRPr="00587974" w:rsidRDefault="00587974" w:rsidP="00587974">
      <w:pPr>
        <w:pStyle w:val="Default"/>
        <w:rPr>
          <w:rFonts w:ascii="Century Gothic" w:hAnsi="Century Gothic"/>
          <w:sz w:val="20"/>
          <w:szCs w:val="20"/>
        </w:rPr>
      </w:pPr>
    </w:p>
    <w:p w:rsidR="00587974" w:rsidRPr="00587974" w:rsidRDefault="00587974" w:rsidP="005D3364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587974">
        <w:rPr>
          <w:rFonts w:ascii="Century Gothic" w:hAnsi="Century Gothic"/>
          <w:sz w:val="20"/>
          <w:szCs w:val="20"/>
        </w:rPr>
        <w:t xml:space="preserve">Le candidat doit présenter un </w:t>
      </w:r>
      <w:r>
        <w:rPr>
          <w:rFonts w:ascii="Century Gothic" w:hAnsi="Century Gothic"/>
          <w:sz w:val="20"/>
          <w:szCs w:val="20"/>
        </w:rPr>
        <w:t>document présentant</w:t>
      </w:r>
      <w:r w:rsidRPr="00587974">
        <w:rPr>
          <w:rFonts w:ascii="Century Gothic" w:hAnsi="Century Gothic"/>
          <w:sz w:val="20"/>
          <w:szCs w:val="20"/>
        </w:rPr>
        <w:t xml:space="preserve"> : </w:t>
      </w:r>
    </w:p>
    <w:p w:rsidR="00587974" w:rsidRPr="00587974" w:rsidRDefault="00587974" w:rsidP="005D3364">
      <w:pPr>
        <w:pStyle w:val="Default"/>
        <w:numPr>
          <w:ilvl w:val="0"/>
          <w:numId w:val="3"/>
        </w:numPr>
        <w:spacing w:after="30"/>
        <w:jc w:val="both"/>
        <w:rPr>
          <w:rFonts w:ascii="Century Gothic" w:hAnsi="Century Gothic"/>
          <w:sz w:val="20"/>
          <w:szCs w:val="20"/>
        </w:rPr>
      </w:pPr>
      <w:r w:rsidRPr="00587974">
        <w:rPr>
          <w:rFonts w:ascii="Century Gothic" w:hAnsi="Century Gothic"/>
          <w:sz w:val="20"/>
          <w:szCs w:val="20"/>
        </w:rPr>
        <w:t xml:space="preserve">sa capacité à candidater : expériences similaires, qualification des personnels pressentis pour assurer la mission </w:t>
      </w:r>
    </w:p>
    <w:p w:rsidR="00587974" w:rsidRPr="00587974" w:rsidRDefault="00587974" w:rsidP="005D3364">
      <w:pPr>
        <w:pStyle w:val="Default"/>
        <w:numPr>
          <w:ilvl w:val="0"/>
          <w:numId w:val="3"/>
        </w:numPr>
        <w:spacing w:after="30"/>
        <w:jc w:val="both"/>
        <w:rPr>
          <w:rFonts w:ascii="Century Gothic" w:hAnsi="Century Gothic"/>
          <w:sz w:val="20"/>
          <w:szCs w:val="20"/>
        </w:rPr>
      </w:pPr>
      <w:r w:rsidRPr="00587974">
        <w:rPr>
          <w:rFonts w:ascii="Century Gothic" w:hAnsi="Century Gothic"/>
          <w:sz w:val="20"/>
          <w:szCs w:val="20"/>
        </w:rPr>
        <w:t xml:space="preserve">sa motivation pour assurer une mission de ce type et sa compréhension des enjeux de la mission. </w:t>
      </w:r>
    </w:p>
    <w:p w:rsidR="00587974" w:rsidRPr="00587974" w:rsidRDefault="00587974" w:rsidP="005D3364">
      <w:pPr>
        <w:pStyle w:val="Default"/>
        <w:numPr>
          <w:ilvl w:val="0"/>
          <w:numId w:val="3"/>
        </w:numPr>
        <w:spacing w:after="30"/>
        <w:jc w:val="both"/>
        <w:rPr>
          <w:rFonts w:ascii="Century Gothic" w:hAnsi="Century Gothic"/>
          <w:sz w:val="20"/>
          <w:szCs w:val="20"/>
        </w:rPr>
      </w:pPr>
      <w:r w:rsidRPr="00587974">
        <w:rPr>
          <w:rFonts w:ascii="Century Gothic" w:hAnsi="Century Gothic"/>
          <w:sz w:val="20"/>
          <w:szCs w:val="20"/>
        </w:rPr>
        <w:lastRenderedPageBreak/>
        <w:t xml:space="preserve">sa méthodologie de travail et la manière dont il envisagerait, en première approche, de répondre à ce cahier des charges. </w:t>
      </w:r>
    </w:p>
    <w:p w:rsidR="00587974" w:rsidRPr="00587974" w:rsidRDefault="00587974" w:rsidP="00587974">
      <w:pPr>
        <w:pStyle w:val="Default"/>
        <w:numPr>
          <w:ilvl w:val="0"/>
          <w:numId w:val="3"/>
        </w:numPr>
        <w:spacing w:after="30"/>
        <w:rPr>
          <w:rFonts w:ascii="Century Gothic" w:hAnsi="Century Gothic"/>
          <w:sz w:val="20"/>
          <w:szCs w:val="20"/>
        </w:rPr>
      </w:pPr>
      <w:r w:rsidRPr="00587974">
        <w:rPr>
          <w:rFonts w:ascii="Century Gothic" w:hAnsi="Century Gothic"/>
          <w:sz w:val="20"/>
          <w:szCs w:val="20"/>
        </w:rPr>
        <w:t>Un planning de mise en œuvre de l'étude</w:t>
      </w:r>
    </w:p>
    <w:p w:rsidR="00587974" w:rsidRPr="00587974" w:rsidRDefault="00587974" w:rsidP="00587974">
      <w:pPr>
        <w:pStyle w:val="Default"/>
        <w:rPr>
          <w:rFonts w:ascii="Century Gothic" w:hAnsi="Century Gothic"/>
          <w:sz w:val="20"/>
          <w:szCs w:val="20"/>
        </w:rPr>
      </w:pPr>
    </w:p>
    <w:p w:rsidR="00587974" w:rsidRPr="00587974" w:rsidRDefault="00587974" w:rsidP="00587974">
      <w:pPr>
        <w:pStyle w:val="Default"/>
        <w:rPr>
          <w:rFonts w:ascii="Century Gothic" w:hAnsi="Century Gothic"/>
          <w:sz w:val="20"/>
          <w:szCs w:val="20"/>
        </w:rPr>
      </w:pPr>
    </w:p>
    <w:p w:rsidR="00587974" w:rsidRPr="00587974" w:rsidRDefault="00587974" w:rsidP="00587974">
      <w:pPr>
        <w:pStyle w:val="Default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587974">
        <w:rPr>
          <w:rFonts w:ascii="Century Gothic" w:hAnsi="Century Gothic"/>
          <w:b/>
          <w:bCs/>
          <w:sz w:val="20"/>
          <w:szCs w:val="20"/>
        </w:rPr>
        <w:t xml:space="preserve">Prix </w:t>
      </w:r>
    </w:p>
    <w:p w:rsidR="00587974" w:rsidRPr="00587974" w:rsidRDefault="00587974" w:rsidP="00587974">
      <w:pPr>
        <w:pStyle w:val="Default"/>
        <w:rPr>
          <w:rFonts w:ascii="Century Gothic" w:hAnsi="Century Gothic"/>
          <w:sz w:val="20"/>
          <w:szCs w:val="20"/>
        </w:rPr>
      </w:pPr>
      <w:r w:rsidRPr="00587974">
        <w:rPr>
          <w:rFonts w:ascii="Century Gothic" w:hAnsi="Century Gothic"/>
          <w:sz w:val="20"/>
          <w:szCs w:val="20"/>
        </w:rPr>
        <w:t xml:space="preserve">Le prestataire devra présenter un devis. Le paiement s'effectuera sur présentation d'une ou plusieurs factures correspondantes aux phases du devis initial d'un </w:t>
      </w:r>
      <w:r w:rsidRPr="00587974">
        <w:rPr>
          <w:rFonts w:ascii="Century Gothic" w:hAnsi="Century Gothic"/>
          <w:b/>
          <w:bCs/>
          <w:sz w:val="20"/>
          <w:szCs w:val="20"/>
        </w:rPr>
        <w:t>montant total maximum de 5.000€ TTC.</w:t>
      </w:r>
    </w:p>
    <w:p w:rsidR="00587974" w:rsidRPr="00587974" w:rsidRDefault="00587974" w:rsidP="00802C89">
      <w:pPr>
        <w:spacing w:after="0" w:line="240" w:lineRule="auto"/>
        <w:rPr>
          <w:rFonts w:ascii="Century Gothic" w:hAnsi="Century Gothic"/>
          <w:color w:val="1F497D"/>
          <w:sz w:val="20"/>
          <w:szCs w:val="20"/>
        </w:rPr>
      </w:pPr>
    </w:p>
    <w:p w:rsidR="00BB14B2" w:rsidRPr="007B249B" w:rsidRDefault="004633F1" w:rsidP="007B249B">
      <w:pPr>
        <w:spacing w:after="0" w:line="240" w:lineRule="auto"/>
        <w:rPr>
          <w:rFonts w:ascii="Century Gothic" w:hAnsi="Century Gothic"/>
          <w:color w:val="1F497D"/>
          <w:sz w:val="20"/>
          <w:szCs w:val="20"/>
        </w:rPr>
      </w:pPr>
      <w:r w:rsidRPr="007B249B">
        <w:rPr>
          <w:rFonts w:ascii="Century Gothic" w:hAnsi="Century Gothic"/>
          <w:sz w:val="20"/>
          <w:szCs w:val="20"/>
        </w:rPr>
        <w:t xml:space="preserve"> </w:t>
      </w:r>
    </w:p>
    <w:sectPr w:rsidR="00BB14B2" w:rsidRPr="007B249B" w:rsidSect="00B470C6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C7E8D"/>
    <w:multiLevelType w:val="hybridMultilevel"/>
    <w:tmpl w:val="BACA45DC"/>
    <w:lvl w:ilvl="0" w:tplc="DDAA7C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87E71"/>
    <w:multiLevelType w:val="hybridMultilevel"/>
    <w:tmpl w:val="CAD00286"/>
    <w:lvl w:ilvl="0" w:tplc="0B307EB0">
      <w:numFmt w:val="bullet"/>
      <w:lvlText w:val="-"/>
      <w:lvlJc w:val="left"/>
      <w:pPr>
        <w:ind w:left="-66" w:hanging="360"/>
      </w:pPr>
      <w:rPr>
        <w:rFonts w:ascii="Arial Narrow" w:eastAsiaTheme="minorHAnsi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" w15:restartNumberingAfterBreak="0">
    <w:nsid w:val="4BE55EC6"/>
    <w:multiLevelType w:val="hybridMultilevel"/>
    <w:tmpl w:val="8236B842"/>
    <w:lvl w:ilvl="0" w:tplc="3D5A2492">
      <w:start w:val="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6B161B"/>
    <w:multiLevelType w:val="hybridMultilevel"/>
    <w:tmpl w:val="85FC9E8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564"/>
    <w:rsid w:val="000C4E16"/>
    <w:rsid w:val="0032484B"/>
    <w:rsid w:val="003A3FF6"/>
    <w:rsid w:val="004633F1"/>
    <w:rsid w:val="00480579"/>
    <w:rsid w:val="00587974"/>
    <w:rsid w:val="005D3364"/>
    <w:rsid w:val="00631920"/>
    <w:rsid w:val="00693D38"/>
    <w:rsid w:val="007B249B"/>
    <w:rsid w:val="00802C89"/>
    <w:rsid w:val="00AC76DC"/>
    <w:rsid w:val="00B470C6"/>
    <w:rsid w:val="00B8742C"/>
    <w:rsid w:val="00BB14B2"/>
    <w:rsid w:val="00CF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BE1A6"/>
  <w15:docId w15:val="{F1F49D82-7009-45BA-9271-89503ADDE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F756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802C89"/>
    <w:pPr>
      <w:ind w:left="720"/>
      <w:contextualSpacing/>
    </w:pPr>
  </w:style>
  <w:style w:type="paragraph" w:customStyle="1" w:styleId="Default">
    <w:name w:val="Default"/>
    <w:rsid w:val="00802C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0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dm@ville-rennes.fr" TargetMode="External"/><Relationship Id="rId5" Type="http://schemas.openxmlformats.org/officeDocument/2006/relationships/hyperlink" Target="mailto:g.guilpain@ville-renne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4554</Characters>
  <Application>Microsoft Office Word</Application>
  <DocSecurity>4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Rennes</Company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GUILPAIN Géraldine</dc:creator>
  <cp:lastModifiedBy>GUILPAIN Géraldine</cp:lastModifiedBy>
  <cp:revision>2</cp:revision>
  <dcterms:created xsi:type="dcterms:W3CDTF">2021-03-11T13:32:00Z</dcterms:created>
  <dcterms:modified xsi:type="dcterms:W3CDTF">2021-03-11T13:32:00Z</dcterms:modified>
</cp:coreProperties>
</file>