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0FEAC" w14:textId="4363B0E5" w:rsidR="00BC4ECB" w:rsidRDefault="001F0332">
      <w:pPr>
        <w:rPr>
          <w:noProof/>
        </w:rPr>
      </w:pPr>
      <w:r>
        <w:rPr>
          <w:noProof/>
        </w:rPr>
        <w:drawing>
          <wp:inline distT="0" distB="0" distL="0" distR="0" wp14:anchorId="62860D64" wp14:editId="3B0A5C8D">
            <wp:extent cx="5760720" cy="4061460"/>
            <wp:effectExtent l="0" t="0" r="11430" b="15240"/>
            <wp:docPr id="505763727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37A13A4A-1634-2A33-8F5F-F5EA04774E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7DC323F" w14:textId="77777777" w:rsidR="000F79B9" w:rsidRDefault="000F79B9" w:rsidP="000F79B9">
      <w:pPr>
        <w:rPr>
          <w:noProof/>
        </w:rPr>
      </w:pPr>
    </w:p>
    <w:p w14:paraId="1CB46D9D" w14:textId="46301E18" w:rsidR="000F79B9" w:rsidRDefault="000F79B9" w:rsidP="000F79B9">
      <w:pPr>
        <w:rPr>
          <w:noProof/>
        </w:rPr>
      </w:pPr>
    </w:p>
    <w:p w14:paraId="32491584" w14:textId="77777777" w:rsidR="000F79B9" w:rsidRDefault="000F79B9" w:rsidP="000F79B9">
      <w:pPr>
        <w:rPr>
          <w:noProof/>
        </w:rPr>
      </w:pPr>
    </w:p>
    <w:p w14:paraId="5A2E722C" w14:textId="31B8E56F" w:rsidR="000F79B9" w:rsidRDefault="00FC779A" w:rsidP="000F79B9">
      <w:r>
        <w:t xml:space="preserve">La roue des homophones ne </w:t>
      </w:r>
      <w:r w:rsidR="00466A20">
        <w:t xml:space="preserve">fonctionne pas sur base de consonnances ou d’homophonie, mais bien sur un </w:t>
      </w:r>
      <w:r w:rsidR="004E5B70">
        <w:t xml:space="preserve">appariement </w:t>
      </w:r>
      <w:r w:rsidR="00006C5B">
        <w:t>(</w:t>
      </w:r>
      <w:r w:rsidR="0022521F">
        <w:t xml:space="preserve">parfois </w:t>
      </w:r>
      <w:r w:rsidR="003E1EB7">
        <w:t xml:space="preserve">imprécis) </w:t>
      </w:r>
      <w:r w:rsidR="004E5B70">
        <w:t>des</w:t>
      </w:r>
      <w:r w:rsidR="00AA478B">
        <w:t xml:space="preserve"> mots selon leur classe grammaticale</w:t>
      </w:r>
      <w:r w:rsidR="003E1EB7">
        <w:t>, s</w:t>
      </w:r>
      <w:r w:rsidR="00AA478B">
        <w:t xml:space="preserve">ans </w:t>
      </w:r>
      <w:r w:rsidR="006065E6">
        <w:t xml:space="preserve">d’ailleurs </w:t>
      </w:r>
      <w:r w:rsidR="00ED161D">
        <w:t>qu’elle soit explicitement nommée</w:t>
      </w:r>
      <w:r w:rsidR="00AA478B">
        <w:t xml:space="preserve">. </w:t>
      </w:r>
      <w:r w:rsidR="001A63A9">
        <w:t xml:space="preserve"> </w:t>
      </w:r>
      <w:r w:rsidR="00B642EA">
        <w:t>Soit l’élève</w:t>
      </w:r>
      <w:r w:rsidR="0066239B">
        <w:t xml:space="preserve"> peut créer ces catégorisations, </w:t>
      </w:r>
      <w:r w:rsidR="00B642EA">
        <w:t xml:space="preserve">soit </w:t>
      </w:r>
      <w:r w:rsidR="0066239B">
        <w:t xml:space="preserve">un temps de réflexion </w:t>
      </w:r>
      <w:r w:rsidR="00936471">
        <w:t xml:space="preserve">collective </w:t>
      </w:r>
      <w:r w:rsidR="00431241">
        <w:t xml:space="preserve">s’avèrera </w:t>
      </w:r>
      <w:r w:rsidR="00ED161D">
        <w:t>utile</w:t>
      </w:r>
      <w:r w:rsidR="00CA68C3">
        <w:t>.</w:t>
      </w:r>
      <w:r w:rsidR="00660172">
        <w:t xml:space="preserve"> Le niveau de guidage peut aussi varier en fonction</w:t>
      </w:r>
      <w:r w:rsidR="000C6D19">
        <w:t xml:space="preserve"> de l’utilisation de cette roue</w:t>
      </w:r>
      <w:r w:rsidR="00271B3C">
        <w:t> :</w:t>
      </w:r>
      <w:r w:rsidR="000C6D19">
        <w:t xml:space="preserve"> en exercice dédié à cet apprentissage ou en </w:t>
      </w:r>
      <w:r w:rsidR="00F161AD">
        <w:t>outil d’autonomisation.</w:t>
      </w:r>
    </w:p>
    <w:p w14:paraId="4AB9346D" w14:textId="7768B5D1" w:rsidR="00D3563C" w:rsidRDefault="006065E6" w:rsidP="000F79B9">
      <w:r>
        <w:t xml:space="preserve">Il s’agit bien ici d’éviter le recours aux « trucs » </w:t>
      </w:r>
      <w:r w:rsidR="00D3656A">
        <w:t>pour amener l’élève à réfléchir autrement</w:t>
      </w:r>
      <w:r w:rsidR="002064ED">
        <w:t xml:space="preserve"> et à utiliser la notion d’apport, de support pour relier ces mots à d’autres afin de construire</w:t>
      </w:r>
      <w:r w:rsidR="00271B3C">
        <w:t xml:space="preserve"> et</w:t>
      </w:r>
      <w:r w:rsidR="002064ED">
        <w:t xml:space="preserve"> maintenir le sens de la phrase.</w:t>
      </w:r>
    </w:p>
    <w:p w14:paraId="79D39609" w14:textId="12A46F23" w:rsidR="009E5AC0" w:rsidRPr="000F79B9" w:rsidRDefault="009E5AC0" w:rsidP="000F79B9">
      <w:r>
        <w:t xml:space="preserve">Les homophones sont parfois moins problématiques dans les productions des élèves que dans les exercices de </w:t>
      </w:r>
      <w:r w:rsidR="0021422F">
        <w:t>« </w:t>
      </w:r>
      <w:r>
        <w:t>drill</w:t>
      </w:r>
      <w:r w:rsidR="0021422F">
        <w:t> »</w:t>
      </w:r>
      <w:r>
        <w:t xml:space="preserve">. </w:t>
      </w:r>
      <w:r w:rsidR="009F645E">
        <w:t>Certaines erreurs n’apparaissent pas dans un contexte d’écriture spontanée car l’élève</w:t>
      </w:r>
      <w:r w:rsidR="000458A3">
        <w:t xml:space="preserve"> a une intention d’écrire plus </w:t>
      </w:r>
      <w:r w:rsidR="001601BB">
        <w:t>élaborée</w:t>
      </w:r>
      <w:r w:rsidR="000458A3">
        <w:t xml:space="preserve"> que le doute qu</w:t>
      </w:r>
      <w:r w:rsidR="00237C52">
        <w:t>i supplante sa réflexion lorsqu’il se trouve dans des exercices décontextualisés</w:t>
      </w:r>
      <w:r w:rsidR="0021422F">
        <w:t xml:space="preserve">. </w:t>
      </w:r>
    </w:p>
    <w:sectPr w:rsidR="009E5AC0" w:rsidRPr="000F7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B9"/>
    <w:rsid w:val="00006C5B"/>
    <w:rsid w:val="000458A3"/>
    <w:rsid w:val="000652AB"/>
    <w:rsid w:val="000C6D19"/>
    <w:rsid w:val="000F79B9"/>
    <w:rsid w:val="001601BB"/>
    <w:rsid w:val="001A63A9"/>
    <w:rsid w:val="001F0332"/>
    <w:rsid w:val="001F3679"/>
    <w:rsid w:val="002064ED"/>
    <w:rsid w:val="00214162"/>
    <w:rsid w:val="0021422F"/>
    <w:rsid w:val="0022521F"/>
    <w:rsid w:val="00237C52"/>
    <w:rsid w:val="00246ADF"/>
    <w:rsid w:val="0026493C"/>
    <w:rsid w:val="00271B3C"/>
    <w:rsid w:val="00315D87"/>
    <w:rsid w:val="003177D4"/>
    <w:rsid w:val="003E1EB7"/>
    <w:rsid w:val="00431241"/>
    <w:rsid w:val="00466A20"/>
    <w:rsid w:val="004871BA"/>
    <w:rsid w:val="00493C29"/>
    <w:rsid w:val="004E5B70"/>
    <w:rsid w:val="00551A11"/>
    <w:rsid w:val="006065E6"/>
    <w:rsid w:val="00660172"/>
    <w:rsid w:val="0066239B"/>
    <w:rsid w:val="00936471"/>
    <w:rsid w:val="009E5AC0"/>
    <w:rsid w:val="009F645E"/>
    <w:rsid w:val="00A00E05"/>
    <w:rsid w:val="00AA478B"/>
    <w:rsid w:val="00B5264E"/>
    <w:rsid w:val="00B642EA"/>
    <w:rsid w:val="00BC4ECB"/>
    <w:rsid w:val="00CA68C3"/>
    <w:rsid w:val="00D3563C"/>
    <w:rsid w:val="00D3656A"/>
    <w:rsid w:val="00DE62C8"/>
    <w:rsid w:val="00ED161D"/>
    <w:rsid w:val="00EE5EC6"/>
    <w:rsid w:val="00F161AD"/>
    <w:rsid w:val="00FC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5EB6C"/>
  <w15:chartTrackingRefBased/>
  <w15:docId w15:val="{FAF6CA33-2C79-45F2-80A2-F180D0C2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7D4"/>
    <w:rPr>
      <w:rFonts w:ascii="Corbel" w:hAnsi="Corbe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0F7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7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79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79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79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79B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79B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79B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79B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79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F79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F79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F79B9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0F79B9"/>
    <w:rPr>
      <w:rFonts w:eastAsiaTheme="majorEastAsia" w:cstheme="majorBidi"/>
      <w:color w:val="0F4761" w:themeColor="accent1" w:themeShade="B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0F79B9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0F79B9"/>
    <w:rPr>
      <w:rFonts w:eastAsiaTheme="majorEastAsia" w:cstheme="majorBidi"/>
      <w:color w:val="595959" w:themeColor="text1" w:themeTint="A6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0F79B9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0F79B9"/>
    <w:rPr>
      <w:rFonts w:eastAsiaTheme="majorEastAsia" w:cstheme="majorBidi"/>
      <w:color w:val="272727" w:themeColor="text1" w:themeTint="D8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0F7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F7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79B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F7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F7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F79B9"/>
    <w:rPr>
      <w:rFonts w:ascii="Corbel" w:hAnsi="Corbel"/>
      <w:i/>
      <w:iCs/>
      <w:color w:val="404040" w:themeColor="text1" w:themeTint="BF"/>
      <w:sz w:val="24"/>
    </w:rPr>
  </w:style>
  <w:style w:type="paragraph" w:styleId="Paragraphedeliste">
    <w:name w:val="List Paragraph"/>
    <w:basedOn w:val="Normal"/>
    <w:uiPriority w:val="34"/>
    <w:qFormat/>
    <w:rsid w:val="000F79B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F79B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7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79B9"/>
    <w:rPr>
      <w:rFonts w:ascii="Corbel" w:hAnsi="Corbel"/>
      <w:i/>
      <w:iCs/>
      <w:color w:val="0F4761" w:themeColor="accent1" w:themeShade="BF"/>
      <w:sz w:val="24"/>
    </w:rPr>
  </w:style>
  <w:style w:type="character" w:styleId="Rfrenceintense">
    <w:name w:val="Intense Reference"/>
    <w:basedOn w:val="Policepardfaut"/>
    <w:uiPriority w:val="32"/>
    <w:qFormat/>
    <w:rsid w:val="000F79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Roue des homophones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ysClr val="window" lastClr="FFFFFF"/>
              </a:solidFill>
              <a:ln w="19050">
                <a:solidFill>
                  <a:sysClr val="windowText" lastClr="00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8FC-489A-B300-471346839A6F}"/>
              </c:ext>
            </c:extLst>
          </c:dPt>
          <c:dPt>
            <c:idx val="1"/>
            <c:bubble3D val="0"/>
            <c:spPr>
              <a:solidFill>
                <a:sysClr val="window" lastClr="FFFFFF"/>
              </a:solidFill>
              <a:ln w="19050">
                <a:solidFill>
                  <a:sysClr val="windowText" lastClr="00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8FC-489A-B300-471346839A6F}"/>
              </c:ext>
            </c:extLst>
          </c:dPt>
          <c:dPt>
            <c:idx val="2"/>
            <c:bubble3D val="0"/>
            <c:spPr>
              <a:solidFill>
                <a:sysClr val="window" lastClr="FFFFFF"/>
              </a:solidFill>
              <a:ln w="19050">
                <a:solidFill>
                  <a:sysClr val="windowText" lastClr="00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8FC-489A-B300-471346839A6F}"/>
              </c:ext>
            </c:extLst>
          </c:dPt>
          <c:dPt>
            <c:idx val="3"/>
            <c:bubble3D val="0"/>
            <c:spPr>
              <a:solidFill>
                <a:sysClr val="window" lastClr="FFFFFF"/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8FC-489A-B300-471346839A6F}"/>
              </c:ext>
            </c:extLst>
          </c:dPt>
          <c:dPt>
            <c:idx val="4"/>
            <c:bubble3D val="0"/>
            <c:spPr>
              <a:solidFill>
                <a:sysClr val="window" lastClr="FFFFFF"/>
              </a:solidFill>
              <a:ln w="19050">
                <a:solidFill>
                  <a:sysClr val="windowText" lastClr="00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8FC-489A-B300-471346839A6F}"/>
              </c:ext>
            </c:extLst>
          </c:dPt>
          <c:dPt>
            <c:idx val="5"/>
            <c:bubble3D val="0"/>
            <c:spPr>
              <a:solidFill>
                <a:schemeClr val="bg1"/>
              </a:solidFill>
              <a:ln w="19050">
                <a:solidFill>
                  <a:sysClr val="windowText" lastClr="00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C8FC-489A-B300-471346839A6F}"/>
              </c:ext>
            </c:extLst>
          </c:dPt>
          <c:dPt>
            <c:idx val="6"/>
            <c:bubble3D val="0"/>
            <c:spPr>
              <a:solidFill>
                <a:sysClr val="window" lastClr="FFFFFF"/>
              </a:solidFill>
              <a:ln w="19050">
                <a:solidFill>
                  <a:sysClr val="windowText" lastClr="00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C8FC-489A-B300-471346839A6F}"/>
              </c:ext>
            </c:extLst>
          </c:dPt>
          <c:dPt>
            <c:idx val="7"/>
            <c:bubble3D val="0"/>
            <c:spPr>
              <a:solidFill>
                <a:sysClr val="window" lastClr="FFFFFF"/>
              </a:solidFill>
              <a:ln w="19050">
                <a:solidFill>
                  <a:sysClr val="windowText" lastClr="00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C8FC-489A-B300-471346839A6F}"/>
              </c:ext>
            </c:extLst>
          </c:dPt>
          <c:dPt>
            <c:idx val="8"/>
            <c:bubble3D val="0"/>
            <c:spPr>
              <a:solidFill>
                <a:sysClr val="window" lastClr="FFFFFF"/>
              </a:solidFill>
              <a:ln w="19050">
                <a:solidFill>
                  <a:sysClr val="windowText" lastClr="00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C8FC-489A-B300-471346839A6F}"/>
              </c:ext>
            </c:extLst>
          </c:dPt>
          <c:dPt>
            <c:idx val="9"/>
            <c:bubble3D val="0"/>
            <c:spPr>
              <a:solidFill>
                <a:sysClr val="window" lastClr="FFFFFF"/>
              </a:solidFill>
              <a:ln w="19050">
                <a:solidFill>
                  <a:sysClr val="windowText" lastClr="00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C8FC-489A-B300-471346839A6F}"/>
              </c:ext>
            </c:extLst>
          </c:dPt>
          <c:dPt>
            <c:idx val="10"/>
            <c:bubble3D val="0"/>
            <c:spPr>
              <a:solidFill>
                <a:sysClr val="window" lastClr="FFFFFF"/>
              </a:solidFill>
              <a:ln w="19050">
                <a:solidFill>
                  <a:sysClr val="windowText" lastClr="00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C8FC-489A-B300-471346839A6F}"/>
              </c:ext>
            </c:extLst>
          </c:dPt>
          <c:dLbls>
            <c:dLbl>
              <c:idx val="0"/>
              <c:layout>
                <c:manualLayout>
                  <c:x val="-5.5179328472707359E-2"/>
                  <c:y val="0.1337642463366082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4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ou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1733127014519477E-2"/>
                      <c:h val="0.12949126973153616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C8FC-489A-B300-471346839A6F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4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a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133681225109069E-2"/>
                      <c:h val="9.4628235573045644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C8FC-489A-B300-471346839A6F}"/>
                </c:ext>
              </c:extLst>
            </c:dLbl>
            <c:dLbl>
              <c:idx val="2"/>
              <c:layout>
                <c:manualLayout>
                  <c:x val="-0.11738148056921369"/>
                  <c:y val="2.528222642966451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4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ont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785050565120061"/>
                      <c:h val="6.3322653879707244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C8FC-489A-B300-471346839A6F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ces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C8FC-489A-B300-471346839A6F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ses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C8FC-489A-B300-471346839A6F}"/>
                </c:ext>
              </c:extLst>
            </c:dLbl>
            <c:dLbl>
              <c:idx val="5"/>
              <c:layout>
                <c:manualLayout>
                  <c:x val="-2.8668291463567054E-3"/>
                  <c:y val="-0.1169256868219802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à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C8FC-489A-B300-471346839A6F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c'est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D-C8FC-489A-B300-471346839A6F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ce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F-C8FC-489A-B300-471346839A6F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on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1-C8FC-489A-B300-471346839A6F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se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3-C8FC-489A-B300-471346839A6F}"/>
                </c:ext>
              </c:extLst>
            </c:dLbl>
            <c:dLbl>
              <c:idx val="10"/>
              <c:layout>
                <c:manualLayout>
                  <c:x val="6.7218454684934328E-2"/>
                  <c:y val="0.1280723223923649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4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400"/>
                      <a:t>              où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563580094868946"/>
                      <c:h val="0.1209533838151711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15-C8FC-489A-B300-471346839A6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Feuil1!$A$1:$A$11</c:f>
              <c:strCache>
                <c:ptCount val="11"/>
                <c:pt idx="0">
                  <c:v>c'est</c:v>
                </c:pt>
                <c:pt idx="1">
                  <c:v>ce</c:v>
                </c:pt>
                <c:pt idx="2">
                  <c:v>on</c:v>
                </c:pt>
                <c:pt idx="3">
                  <c:v>se</c:v>
                </c:pt>
                <c:pt idx="4">
                  <c:v>où</c:v>
                </c:pt>
                <c:pt idx="5">
                  <c:v>ou</c:v>
                </c:pt>
                <c:pt idx="6">
                  <c:v>a</c:v>
                </c:pt>
                <c:pt idx="7">
                  <c:v>ont</c:v>
                </c:pt>
                <c:pt idx="8">
                  <c:v>ces</c:v>
                </c:pt>
                <c:pt idx="9">
                  <c:v>ses</c:v>
                </c:pt>
                <c:pt idx="10">
                  <c:v>où</c:v>
                </c:pt>
              </c:strCache>
            </c:strRef>
          </c:cat>
          <c:val>
            <c:numRef>
              <c:f>Feuil1!$B$1:$B$11</c:f>
              <c:numCache>
                <c:formatCode>General</c:formatCode>
                <c:ptCount val="11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C8FC-489A-B300-471346839A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Race</dc:creator>
  <cp:keywords/>
  <dc:description/>
  <cp:lastModifiedBy>Cecile Race</cp:lastModifiedBy>
  <cp:revision>34</cp:revision>
  <dcterms:created xsi:type="dcterms:W3CDTF">2026-04-08T16:33:00Z</dcterms:created>
  <dcterms:modified xsi:type="dcterms:W3CDTF">2026-04-20T08:02:00Z</dcterms:modified>
</cp:coreProperties>
</file>