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734513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F7FCFD2" wp14:editId="15548E1F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629400" cy="6985423"/>
            <wp:effectExtent l="0" t="0" r="0" b="6350"/>
            <wp:wrapNone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98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8CB24EF" wp14:editId="7454AD0D">
            <wp:simplePos x="0" y="0"/>
            <wp:positionH relativeFrom="column">
              <wp:posOffset>-62230</wp:posOffset>
            </wp:positionH>
            <wp:positionV relativeFrom="paragraph">
              <wp:posOffset>7229475</wp:posOffset>
            </wp:positionV>
            <wp:extent cx="6377354" cy="1943100"/>
            <wp:effectExtent l="0" t="0" r="4445" b="0"/>
            <wp:wrapNone/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54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45CB469B" wp14:editId="22607171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F12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 w:rsidR="00734513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F12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</w:t>
                      </w:r>
                      <w:r w:rsidR="00734513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C3BBE"/>
    <w:rsid w:val="0011131D"/>
    <w:rsid w:val="001769D1"/>
    <w:rsid w:val="001A6435"/>
    <w:rsid w:val="001C22D8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2014-09-01T11:46:00Z</cp:lastPrinted>
  <dcterms:created xsi:type="dcterms:W3CDTF">2014-09-01T11:56:00Z</dcterms:created>
  <dcterms:modified xsi:type="dcterms:W3CDTF">2014-09-01T11:56:00Z</dcterms:modified>
</cp:coreProperties>
</file>