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shd w:fill="d9d9d9" w:val="clear"/>
          <w:rtl w:val="0"/>
        </w:rPr>
        <w:t xml:space="preserve">  5  </w:t>
      </w:r>
      <w:r w:rsidDel="00000000" w:rsidR="00000000" w:rsidRPr="00000000">
        <w:rPr>
          <w:sz w:val="36"/>
          <w:szCs w:val="36"/>
          <w:rtl w:val="0"/>
        </w:rPr>
        <w:t xml:space="preserve"> La relation aux apprentissages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8810625</wp:posOffset>
            </wp:positionH>
            <wp:positionV relativeFrom="paragraph">
              <wp:posOffset>114300</wp:posOffset>
            </wp:positionV>
            <wp:extent cx="530588" cy="767311"/>
            <wp:effectExtent b="0" l="0" r="0" t="0"/>
            <wp:wrapSquare wrapText="bothSides" distB="114300" distT="114300" distL="114300" distR="1143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588" cy="7673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Quelques pistes d’observations non exhaustives à compléter au besoin dans ce domaine afin d’affiner l’identification des besoins éducatifs.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23.27198368600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"/>
        <w:gridCol w:w="6555"/>
        <w:gridCol w:w="2841.090661228669"/>
        <w:gridCol w:w="2841.090661228669"/>
        <w:gridCol w:w="2841.090661228669"/>
        <w:tblGridChange w:id="0">
          <w:tblGrid>
            <w:gridCol w:w="645"/>
            <w:gridCol w:w="6555"/>
            <w:gridCol w:w="2841.090661228669"/>
            <w:gridCol w:w="2841.090661228669"/>
            <w:gridCol w:w="2841.090661228669"/>
          </w:tblGrid>
        </w:tblGridChange>
      </w:tblGrid>
      <w:tr>
        <w:trPr>
          <w:trHeight w:val="420" w:hRule="atLeast"/>
        </w:trPr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Observables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Observations/remarques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Points d’appui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Obstacles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Hypothèses de besoins</w:t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une stratégie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lit en totalité les données, mémorise toutes les conditions du problème, comportement exploratoire systématique, réfléchi, planifié.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le vocabulaire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connaît les termes utilisés, possède le vocabulaire qui affecte la discrimination (objets, événements, relations...).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connaître les savoirs nécessaires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pour comprendre la nature de l'épreuve, possède la permanence des constantes (mesure, forme, quantité, orientation).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et à transférer des connaissances préalables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utilise des cadres de résolution déjà acquis...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certains automatismes: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maîtrise des opérations mentales ou techniques déjà abordées.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imaginer une situation: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fait preuve de décentration (ex. : si j'avais...).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produire une généralité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à partir de plusieurs cas semblables (induction)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faire des inférences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: interprète une situation à partir d'éléments non signifiés dans le texte ou l'image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faire des analogies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fait des liens entre des connaissances acquises et la situation proposée.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5-4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anticiper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peut dire ce qu'il faut faire pour résoudre le problème.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planifier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peut indiquer les différentes étapes d’une tâche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de décision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fait des choix (à l'opposé : scrupule, difficulté à se décider, blocage).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de communication de son travail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accepte de communiquer, utilise des modalités de communication compréhensibles, maîtrise des outils de communication.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de différencier le fond de la forme lors de la communication 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centre sur le fond plutôt que la forme, maîtrise de la forme.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23091" cy="426244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091" cy="426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