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shd w:fill="6d9eeb" w:val="clear"/>
          <w:rtl w:val="0"/>
        </w:rPr>
        <w:t xml:space="preserve">  2  </w:t>
      </w:r>
      <w:r w:rsidDel="00000000" w:rsidR="00000000" w:rsidRPr="00000000">
        <w:rPr>
          <w:sz w:val="36"/>
          <w:szCs w:val="36"/>
          <w:rtl w:val="0"/>
        </w:rPr>
        <w:t xml:space="preserve"> Le fonctionnement psycho-affectif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8991600</wp:posOffset>
            </wp:positionH>
            <wp:positionV relativeFrom="paragraph">
              <wp:posOffset>114300</wp:posOffset>
            </wp:positionV>
            <wp:extent cx="669421" cy="94578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421" cy="945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Quelques pistes d’observations non exhaustives à compléter au besoin dans ce domaine afin d’affiner l’identification des besoins éducatifs.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23.27198368600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6450"/>
        <w:gridCol w:w="2841.090661228669"/>
        <w:gridCol w:w="2841.090661228669"/>
        <w:gridCol w:w="2841.090661228669"/>
        <w:tblGridChange w:id="0">
          <w:tblGrid>
            <w:gridCol w:w="750"/>
            <w:gridCol w:w="6450"/>
            <w:gridCol w:w="2841.090661228669"/>
            <w:gridCol w:w="2841.090661228669"/>
            <w:gridCol w:w="2841.090661228669"/>
          </w:tblGrid>
        </w:tblGridChange>
      </w:tblGrid>
      <w:tr>
        <w:trPr>
          <w:trHeight w:val="420" w:hRule="atLeast"/>
        </w:trPr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Observables</w:t>
            </w:r>
          </w:p>
        </w:tc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Observations/remarques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Points d’appui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Obstacles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Hypothèses de besoins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être conscient de ses capacités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:savoir “où on est bon”, comment  on préfère apprendre, comment on préfère mémoriser...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2-2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se lancer seul dans une tâche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savoir qu'on est capable de se mobiliser en situation, oser dire qu'on a compris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persévérer dans la tâche: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 besoin de réassurance durant la tâche ou pas.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appliquer le fonctionnement de la classe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en cas d’absence de l’enseignant: pouvoir expliquer le fonctionnement au remplaçant, être flexible et s’adapter à d’autres fonctionnements.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surmonter une difficulté: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l’anxiété le paralyse, le fait abandonner, arrive à se contrôler, a besoin d’être relancé, ou au contraire est tenace et est motivé par la difficulté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maîtriser l’expression de ses sentiments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este réceptif aux tentatives de régulation ou aux apprentissages.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mettre des mots sur l’expression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ses sentiments: l'expression  est verbalisée plutôt que corporelle.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2-4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avoir un projet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se projette (à moyen ou long terme) (en tenant compte de l'âge), à l'opposé, vit dans l'ici et le maintenant.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enchaîner le désir et sa réalisation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peut mettre du temps entre le désir et sa réalisation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accepter de réussir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savoir quand on a réussi, l'accepter, se projeter en train de réussir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