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6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4"/>
        <w:gridCol w:w="2380"/>
        <w:gridCol w:w="6657"/>
        <w:tblGridChange w:id="0">
          <w:tblGrid>
            <w:gridCol w:w="1584"/>
            <w:gridCol w:w="2380"/>
            <w:gridCol w:w="6657"/>
          </w:tblGrid>
        </w:tblGridChange>
      </w:tblGrid>
      <w:tr>
        <w:tc>
          <w:tcPr/>
          <w:sdt>
            <w:sdtPr>
              <w:tag w:val="goog_rdk_1"/>
            </w:sdtPr>
            <w:sdtContent>
              <w:p w:rsidR="00000000" w:rsidDel="00000000" w:rsidP="00000000" w:rsidRDefault="00000000" w:rsidRPr="00000000" w14:paraId="0000000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43089</wp:posOffset>
                      </wp:positionH>
                      <wp:positionV relativeFrom="paragraph">
                        <wp:posOffset>29210</wp:posOffset>
                      </wp:positionV>
                      <wp:extent cx="750548" cy="568949"/>
                      <wp:effectExtent b="0" l="0" r="0" t="0"/>
                      <wp:wrapNone/>
                      <wp:docPr descr="RÃ©sultat de recherche d'images pour &quot;acadÃ©mie orleans tours&quot;" id="14" name="image3.jpg"/>
                      <a:graphic>
                        <a:graphicData uri="http://schemas.openxmlformats.org/drawingml/2006/picture">
                          <pic:pic>
                            <pic:nvPicPr>
                              <pic:cNvPr descr="RÃ©sultat de recherche d'images pour &quot;acadÃ©mie orleans tours&quot;" id="0" name="image3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48" cy="5689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</w:tcPr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pStyle w:val="Heading1"/>
                  <w:numPr>
                    <w:ilvl w:val="0"/>
                    <w:numId w:val="2"/>
                  </w:numPr>
                  <w:ind w:left="432" w:hanging="432"/>
                  <w:rPr>
                    <w:rFonts w:ascii="Calibri" w:cs="Calibri" w:eastAsia="Calibri" w:hAnsi="Calibri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40"/>
                    <w:szCs w:val="40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  <w:t xml:space="preserve">Etablissement :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/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  <w:t xml:space="preserve">Poste de travail :</w:t>
                </w:r>
              </w:p>
            </w:sdtContent>
          </w:sdt>
        </w:tc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jc w:val="center"/>
                  <w:rPr>
                    <w:b w:val="1"/>
                    <w:sz w:val="44"/>
                    <w:szCs w:val="44"/>
                  </w:rPr>
                </w:pPr>
                <w:r w:rsidDel="00000000" w:rsidR="00000000" w:rsidRPr="00000000">
                  <w:rPr>
                    <w:b w:val="1"/>
                    <w:sz w:val="44"/>
                    <w:szCs w:val="44"/>
                    <w:rtl w:val="0"/>
                  </w:rPr>
                  <w:t xml:space="preserve">THERMOPLIEUSE</w:t>
                </w:r>
              </w:p>
            </w:sdtContent>
          </w:sdt>
        </w:tc>
      </w:tr>
    </w:tbl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106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7507"/>
        <w:tblGridChange w:id="0">
          <w:tblGrid>
            <w:gridCol w:w="2835"/>
            <w:gridCol w:w="284"/>
            <w:gridCol w:w="7507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b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ff0000"/>
                    <w:sz w:val="24"/>
                    <w:szCs w:val="24"/>
                    <w:rtl w:val="0"/>
                  </w:rPr>
                  <w:t xml:space="preserve">Attention machine dangereuse </w:t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3600450</wp:posOffset>
                          </wp:positionH>
                          <wp:positionV relativeFrom="paragraph">
                            <wp:posOffset>38100</wp:posOffset>
                          </wp:positionV>
                          <wp:extent cx="822325" cy="822700"/>
                          <wp:effectExtent b="0" l="0" r="0" t="0"/>
                          <wp:wrapNone/>
                          <wp:docPr id="9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3600450</wp:posOffset>
                          </wp:positionH>
                          <wp:positionV relativeFrom="paragraph">
                            <wp:posOffset>38100</wp:posOffset>
                          </wp:positionV>
                          <wp:extent cx="822325" cy="822700"/>
                          <wp:effectExtent b="0" l="0" r="0" t="0"/>
                          <wp:wrapNone/>
                          <wp:docPr id="9" name="image5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5.png"/>
                                  <pic:cNvPicPr preferRelativeResize="0"/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Machine autorisée aux élèves et aux professeurs.</w:t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Respecter les IPS affichées et les consignes de sécurité</w:t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Supplémentaires sur les points non conformes.</w:t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-192404</wp:posOffset>
                      </wp:positionV>
                      <wp:extent cx="1133475" cy="1076801"/>
                      <wp:effectExtent b="0" l="0" r="0" t="0"/>
                      <wp:wrapNone/>
                      <wp:docPr id="1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3475" cy="10768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</w:tcPr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Régler la butée de profondeur et l’angle de pliage</w:t>
                </w:r>
              </w:p>
            </w:sdtContent>
          </w:sdt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Positionner la pièce contre la butée arrière</w:t>
                </w:r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Serrer la pièce à l’aide du serre-flanc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Régler la minuterie et mettre la machine sous tension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Plier à l’arrêt de la minuterie</w:t>
                </w:r>
              </w:p>
            </w:sdtContent>
          </w:sdt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Attendre le refroidissement de la pièce</w:t>
                </w:r>
              </w:p>
            </w:sdtContent>
          </w:sdt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Relâcher le levier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Desserrer le serre-flanc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numPr>
                    <w:ilvl w:val="0"/>
                    <w:numId w:val="3"/>
                  </w:numPr>
                  <w:ind w:left="720" w:hanging="36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ff"/>
                    <w:sz w:val="20"/>
                    <w:szCs w:val="20"/>
                    <w:rtl w:val="0"/>
                  </w:rPr>
                  <w:t xml:space="preserve">Enlever la pièce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ind w:left="720"/>
                  <w:rPr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-666114</wp:posOffset>
                      </wp:positionV>
                      <wp:extent cx="1152525" cy="1095375"/>
                      <wp:effectExtent b="0" l="0" r="0" t="0"/>
                      <wp:wrapNone/>
                      <wp:docPr id="1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2525" cy="1095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</w:tcPr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numPr>
                    <w:ilvl w:val="0"/>
                    <w:numId w:val="4"/>
                  </w:numPr>
                  <w:ind w:left="720" w:hanging="36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20"/>
                    <w:szCs w:val="20"/>
                    <w:rtl w:val="0"/>
                  </w:rPr>
                  <w:t xml:space="preserve">Brûlures de la peau, des cheveux ou des vêtements</w:t>
                </w:r>
              </w:p>
            </w:sdtContent>
          </w:sdt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-382269</wp:posOffset>
                      </wp:positionV>
                      <wp:extent cx="1085850" cy="1085850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5850" cy="1085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Equipements de protection individuelle :</w:t>
                </w:r>
              </w:p>
            </w:sdtContent>
          </w:sdt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160" w:before="0" w:line="259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8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8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Gants haute température</w:t>
                </w:r>
              </w:p>
            </w:sdtContent>
          </w:sdt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color w:val="008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color w:val="008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940" w:hRule="atLeast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ind w:firstLine="708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Caractéristiques :</w:t>
                </w:r>
              </w:p>
            </w:sdtContent>
          </w:sdt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ind w:firstLine="708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Minuterie fin de travail</w:t>
                </w:r>
              </w:p>
            </w:sdtContent>
          </w:sdt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Alimentation : 230 V</w:t>
                </w:r>
              </w:p>
            </w:sdtContent>
          </w:sdt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Largeur : 640 mm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Profondeur : 450 mm</w:t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Hauteur : 285 mm</w:t>
                </w:r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Poids : 15 kg</w:t>
                </w:r>
              </w:p>
            </w:sdtContent>
          </w:sdt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Longueur de pliage : 500 mm</w:t>
                </w:r>
              </w:p>
            </w:sdtContent>
          </w:sdt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Résistance chauffante alimentée en 12 V</w:t>
                </w:r>
              </w:p>
            </w:sdtContent>
          </w:sdt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Interrupteur général et fusible (1A) déportés sur bloc alim.</w:t>
                </w:r>
              </w:p>
            </w:sdtContent>
          </w:sdt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Capacité maxi de pliage 6 mm (pour PVC), 3mm (Lexan)</w:t>
                </w:r>
              </w:p>
            </w:sdtContent>
          </w:sdt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 Angle de pliage de 0° à 120°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</w:tcPr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257175</wp:posOffset>
                      </wp:positionV>
                      <wp:extent cx="2533650" cy="1905000"/>
                      <wp:effectExtent b="0" l="0" r="0" t="0"/>
                      <wp:wrapNone/>
                      <wp:docPr descr="IMG_0540" id="15" name="image7.jpg"/>
                      <a:graphic>
                        <a:graphicData uri="http://schemas.openxmlformats.org/drawingml/2006/picture">
                          <pic:pic>
                            <pic:nvPicPr>
                              <pic:cNvPr descr="IMG_0540" id="0" name="image7.jp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33650" cy="1905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</w:tc>
      </w:tr>
    </w:tbl>
    <w:sdt>
      <w:sdtPr>
        <w:tag w:val="goog_rdk_80"/>
      </w:sdtPr>
      <w:sdtContent>
        <w:p w:rsidR="00000000" w:rsidDel="00000000" w:rsidP="00000000" w:rsidRDefault="00000000" w:rsidRPr="00000000" w14:paraId="00000051">
          <w:pPr>
            <w:rPr/>
          </w:pP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81"/>
      </w:sdtPr>
      <w:sdtContent>
        <w:p w:rsidR="00000000" w:rsidDel="00000000" w:rsidP="00000000" w:rsidRDefault="00000000" w:rsidRPr="00000000" w14:paraId="00000052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6750685" cy="5487035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685" cy="54870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568" w:top="851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8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ff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432" w:hanging="432"/>
      <w:jc w:val="center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link w:val="Titre1Car"/>
    <w:qFormat w:val="1"/>
    <w:rsid w:val="004A712E"/>
    <w:pPr>
      <w:keepNext w:val="1"/>
      <w:numPr>
        <w:numId w:val="1"/>
      </w:numPr>
      <w:suppressAutoHyphens w:val="1"/>
      <w:autoSpaceDE w:val="0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bCs w:val="1"/>
      <w:lang w:eastAsia="ar-SA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4A71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re1Car" w:customStyle="1">
    <w:name w:val="Titre 1 Car"/>
    <w:basedOn w:val="Policepardfaut"/>
    <w:link w:val="Titre1"/>
    <w:rsid w:val="004A712E"/>
    <w:rPr>
      <w:rFonts w:ascii="Times New Roman" w:cs="Times New Roman" w:eastAsia="Times New Roman" w:hAnsi="Times New Roman"/>
      <w:b w:val="1"/>
      <w:bCs w:val="1"/>
      <w:lang w:eastAsia="ar-SA"/>
    </w:rPr>
  </w:style>
  <w:style w:type="paragraph" w:styleId="Paragraphedeliste">
    <w:name w:val="List Paragraph"/>
    <w:basedOn w:val="Normal"/>
    <w:uiPriority w:val="34"/>
    <w:qFormat w:val="1"/>
    <w:rsid w:val="0065520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wW0LPdJ+fZBnSPx37o8h9FTBGw==">AMUW2mWEPNc4h+OdU7Vud9lfHXxJTlKIFjJBSqF/s7Ro0LbiAjtCxu5x100S+miOeFWLkypyLKnSJb0Hp3t6kZuk9NXioNQk/fKeb0+AfJn7CmHdSU0u47S17QqNg4vGaJqMQTiRbY0j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2019-06-11T14:16:00Z</dcterms:created>
  <dc:creator>Philippe GESSET</dc:creator>
</cp:coreProperties>
</file>