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sz w:val="40"/>
          <w:szCs w:val="40"/>
        </w:rPr>
        <w:t xml:space="preserve">FICHE DE LECTURE</w:t>
      </w:r>
    </w:p>
    <w:p>
      <w:pPr>
        <w:spacing w:after="400"/>
        <w:jc w:val="center"/>
      </w:pPr>
      <w:r>
        <w:rPr>
          <w:i/>
          <w:iCs/>
          <w:sz w:val="26"/>
          <w:szCs w:val="26"/>
        </w:rPr>
        <w:t xml:space="preserve">Frédéric Gros, États de violence. Essai sur la fin de la guerre</w:t>
      </w:r>
    </w:p>
    <w:p>
      <w:pPr>
        <w:pStyle w:val="Heading1"/>
        <w:spacing w:after="180" w:before="360"/>
      </w:pPr>
      <w:r>
        <w:t xml:space="preserve">I. Fiche signalétique</w:t>
      </w:r>
    </w:p>
    <w:p>
      <w:pPr>
        <w:spacing w:after="80"/>
      </w:pPr>
      <w:r>
        <w:rPr>
          <w:b/>
          <w:bCs/>
          <w:sz w:val="22"/>
          <w:szCs w:val="22"/>
        </w:rPr>
        <w:t xml:space="preserve">Auteur : </w:t>
      </w:r>
      <w:r>
        <w:rPr>
          <w:sz w:val="22"/>
          <w:szCs w:val="22"/>
        </w:rPr>
        <w:t xml:space="preserve">Frédéric Gros, philosophe, alors maître de conférences à l'université Paris-XII et à Sciences Po Paris ; spécialiste de Michel Foucault (dont il a édité les Cours au Collège de France) et de philosophie pénale.</w:t>
      </w:r>
    </w:p>
    <w:p>
      <w:pPr>
        <w:spacing w:after="80"/>
      </w:pPr>
      <w:r>
        <w:rPr>
          <w:b/>
          <w:bCs/>
          <w:sz w:val="22"/>
          <w:szCs w:val="22"/>
        </w:rPr>
        <w:t xml:space="preserve">Titre complet : </w:t>
      </w:r>
      <w:r>
        <w:rPr>
          <w:sz w:val="22"/>
          <w:szCs w:val="22"/>
        </w:rPr>
        <w:t xml:space="preserve">États de violence. Essai sur la fin de la guerre</w:t>
      </w:r>
    </w:p>
    <w:p>
      <w:pPr>
        <w:spacing w:after="80"/>
      </w:pPr>
      <w:r>
        <w:rPr>
          <w:b/>
          <w:bCs/>
          <w:sz w:val="22"/>
          <w:szCs w:val="22"/>
        </w:rPr>
        <w:t xml:space="preserve">Édition : </w:t>
      </w:r>
      <w:r>
        <w:rPr>
          <w:sz w:val="22"/>
          <w:szCs w:val="22"/>
        </w:rPr>
        <w:t xml:space="preserve">Paris, Gallimard, coll. « NRF Essais », 2006, environ 310 pages</w:t>
      </w:r>
    </w:p>
    <w:p>
      <w:pPr>
        <w:spacing w:after="80"/>
      </w:pPr>
      <w:r>
        <w:rPr>
          <w:b/>
          <w:bCs/>
          <w:sz w:val="22"/>
          <w:szCs w:val="22"/>
        </w:rPr>
        <w:t xml:space="preserve">Genre : </w:t>
      </w:r>
      <w:r>
        <w:rPr>
          <w:sz w:val="22"/>
          <w:szCs w:val="22"/>
        </w:rPr>
        <w:t xml:space="preserve">Essai de philosophie politique, à la croisée de l'histoire des idées, de la philosophie du droit et de la réflexion stratégique contemporaine</w:t>
      </w:r>
    </w:p>
    <w:p>
      <w:pPr>
        <w:spacing w:after="80"/>
      </w:pPr>
      <w:r>
        <w:rPr>
          <w:b/>
          <w:bCs/>
          <w:sz w:val="22"/>
          <w:szCs w:val="22"/>
        </w:rPr>
        <w:t xml:space="preserve">Place dans la bibliographie « La Paix » : </w:t>
      </w:r>
      <w:r>
        <w:rPr>
          <w:sz w:val="22"/>
          <w:szCs w:val="22"/>
        </w:rPr>
        <w:t xml:space="preserve">Axe 1 (généalogie conceptuelle de la paix et de la violence) ; peut aussi nourrir l'axe 5 (limites de la paix, guerre et violence contemporaines)</w:t>
      </w:r>
    </w:p>
    <w:p>
      <w:pPr>
        <w:pStyle w:val="Heading1"/>
        <w:spacing w:after="180" w:before="360"/>
      </w:pPr>
      <w:r>
        <w:t xml:space="preserve">II. Thèse générale</w:t>
      </w:r>
    </w:p>
    <w:p>
      <w:pPr>
        <w:spacing w:after="200" w:line="276"/>
      </w:pPr>
      <w:r>
        <w:rPr>
          <w:sz w:val="22"/>
          <w:szCs w:val="22"/>
        </w:rPr>
        <w:t xml:space="preserve">La thèse de Gros peut se résumer en une phrase, volontairement paradoxale : la guerre, telle que la philosophie occidentale l'a pensée depuis l'Antiquité, est en train de disparaître — mais cette disparition n'annonce pas l'avènement de la paix. Elle annonce au contraire la dispersion de la violence en une multitude de formes disparates, anarchiques et mal identifiées, que Gros propose de nommer, faute de mieux, des « états de violence » : terrorisme, milices armées, frappes technologiques à distance, interventions de sécurité. Le concept classique de guerre échoue désormais à rendre compte de ces phénomènes, et c'est précisément cet échec que l'ouvrage se propose d'instruire.</w:t>
      </w:r>
    </w:p>
    <w:p>
      <w:pPr>
        <w:spacing w:after="200" w:line="276"/>
      </w:pPr>
      <w:r>
        <w:rPr>
          <w:sz w:val="22"/>
          <w:szCs w:val="22"/>
        </w:rPr>
        <w:t xml:space="preserve">Pour étayer cette thèse, Gros ne part pas du présent mais du passé : l'essentiel du livre est consacré à reconstituer, à travers la tradition philosophique (de Platon à Foucault, en passant par les théologiens de la guerre juste, Hobbes, Grotius, Clausewitz ou Carl Schmitt), ce qui a permis de penser la guerre comme un objet distinct de la violence informe. Ce n'est qu'en toute fin d'ouvrage, une fois cette généalogie achevée, que l'auteur formule sa thèse sur les « états de violence » contemporains — ce qui a pu être reproché au livre par certains commentateurs (voir partie V), le développement consacré au présent restant proportionnellement mince par rapport à l'enquête historique et conceptuelle.</w:t>
      </w:r>
    </w:p>
    <w:p>
      <w:pPr>
        <w:pStyle w:val="Heading1"/>
        <w:spacing w:after="180" w:before="360"/>
      </w:pPr>
      <w:r>
        <w:t xml:space="preserve">III. Structure de l'ouvrage : trois grilles de lecture de la guerre</w:t>
      </w:r>
    </w:p>
    <w:p>
      <w:pPr>
        <w:spacing w:after="200" w:line="276"/>
      </w:pPr>
      <w:r>
        <w:rPr>
          <w:sz w:val="22"/>
          <w:szCs w:val="22"/>
        </w:rPr>
        <w:t xml:space="preserve">Gros construit sa généalogie de la guerre autour de trois dimensions ou « foyers » constitutifs du concept classique de guerre — l'éthique, le politique et le juridique — qui structurent les trois grandes parties de l'ouvrage. Dans chaque partie, l'auteur montre comment cette dimension a permis, historiquement, de donner à la guerre une consistance conceptuelle, puis comment elle se délite dans les « états de violence » contemporains.</w:t>
      </w:r>
    </w:p>
    <w:p>
      <w:pPr>
        <w:pStyle w:val="Heading2"/>
        <w:spacing w:after="140" w:before="260"/>
      </w:pPr>
      <w:r>
        <w:t xml:space="preserve">1. La dimension éthique : des forces morales du combat à la « démoralisation » de la violence</w:t>
      </w:r>
    </w:p>
    <w:p>
      <w:pPr>
        <w:spacing w:after="200" w:line="276"/>
      </w:pPr>
      <w:r>
        <w:rPr>
          <w:sz w:val="22"/>
          <w:szCs w:val="22"/>
        </w:rPr>
        <w:t xml:space="preserve">Gros s'attache d'abord aux forces morales qui, historiquement, ont façonné le rapport du combattant à la mort. Il distingue plusieurs modèles historiques successifs : le chevalier antique et médiéval, guidé par une éthique du dépassement de soi et de l'honneur, qui affronte la mort pour en tirer une gloire personnelle ; le hoplite grec, combattant en formation de phalange, guidé par une éthique de la solidarité et de la maîtrise de soi, qui met sa vie en jeu pour protéger ses compagnons d'armes ; puis, plus tard, d'autres figures (le soldat professionnel, le combattant de la guerre totale mobilisé au nom de la nation) portées par des forces morales différentes mais toujours fondées sur un même principe : l'échange réciproque de la mort. Dans tous ces modèles, en effet, tuer et pouvoir être tué sont les deux faces d'un même rapport, ce qui donne sens à l'expérience du combat.</w:t>
      </w:r>
    </w:p>
    <w:p>
      <w:pPr>
        <w:spacing w:after="200" w:line="276"/>
      </w:pPr>
      <w:r>
        <w:rPr>
          <w:sz w:val="22"/>
          <w:szCs w:val="22"/>
        </w:rPr>
        <w:t xml:space="preserve">C'est précisément ce principe d'échange que Gros voit disparaître dans les « états de violence » contemporains. Le terroriste, le milicien ou l'opérateur de frappe à distance ne s'exposent plus symétriquement à la mort qu'ils donnent : la violence devient unilatérale. Gros parle alors de violence qui se « distribue » ou se « sème » plutôt qu'elle ne s'échange. Le terroriste, en particulier, fait un usage singulier de sa propre mort : il cherche moins l'honneur guerrier que la médiatisation de son acte, dans laquelle il espère une forme de survie fantasmatique. Cette reconfiguration du rapport à la mort est, pour Gros, le premier signe de la démoralisation de la violence contemporaine — non pas au sens d'un manque de morale, mais au sens d'une disparition des cadres moraux qui donnaient sens au combat.</w:t>
      </w:r>
    </w:p>
    <w:p>
      <w:pPr>
        <w:pStyle w:val="Heading2"/>
        <w:spacing w:after="140" w:before="260"/>
      </w:pPr>
      <w:r>
        <w:t xml:space="preserve">2. La dimension politique : la fin de la guerre comme instrument de l'État</w:t>
      </w:r>
    </w:p>
    <w:p>
      <w:pPr>
        <w:spacing w:after="200" w:line="276"/>
      </w:pPr>
      <w:r>
        <w:rPr>
          <w:sz w:val="22"/>
          <w:szCs w:val="22"/>
        </w:rPr>
        <w:t xml:space="preserve">La deuxième partie retrace comment la guerre a été conçue comme un instrument politique au service de l'État : elle lui permettait de s'incarner et d'exister en tant qu'unité politique, d'assurer sa cohésion interne face à une menace extérieure, et d'afficher sa puissance parmi les autres États. La guerre, choisie rationnellement contre la paix, donnait ainsi à l'État sa consistance matérielle et symbolique — c'est tout l'enjeu de la tradition de philosophie politique qui va de Hobbes à Clausewitz, où la guerre est pensée comme la continuation de la politique par d'autres moyens, mais reste indexée à des fins étatiques identifiables.</w:t>
      </w:r>
    </w:p>
    <w:p>
      <w:pPr>
        <w:spacing w:after="200" w:line="276"/>
      </w:pPr>
      <w:r>
        <w:rPr>
          <w:sz w:val="22"/>
          <w:szCs w:val="22"/>
        </w:rPr>
        <w:t xml:space="preserve">Or, pour Gros, ce cadre politique classique s'efface à son tour dans un monde globalisé. La violence contemporaine n'est plus pensée en termes de guerre et de paix entre États souverains, mais selon les catégories nouvelles de l'intervention et de la sécurité : on n'entre plus en guerre contre un État identifié, on « intervient » dans une zone de crise ou on « sécurise » un territoire contre une menace diffuse (terrorisme, criminalité organisée, milices). Cette bascule sémantique n'est pas anodine : elle signale, selon l'auteur, la disparition du cadre politique classique qui donnait sens à la distinction entre guerre et paix.</w:t>
      </w:r>
    </w:p>
    <w:p>
      <w:pPr>
        <w:pStyle w:val="Heading2"/>
        <w:spacing w:after="140" w:before="260"/>
      </w:pPr>
      <w:r>
        <w:t xml:space="preserve">3. La dimension juridique : du droit de la guerre juste à la crise du droit des gens</w:t>
      </w:r>
    </w:p>
    <w:p>
      <w:pPr>
        <w:spacing w:after="200" w:line="276"/>
      </w:pPr>
      <w:r>
        <w:rPr>
          <w:sz w:val="22"/>
          <w:szCs w:val="22"/>
        </w:rPr>
        <w:t xml:space="preserve">La troisième partie est consacrée à la construction juridique de la guerre, depuis sa définition classique par le juriste italien Alberico Gentili en 1597 comme un « conflit armé, public et juste » jusqu'à la crise contemporaine de cette construction. Gros retrace le débat, central dans la tradition occidentale, entre les théologiens de la guerre juste (pour l'essentiel catholiques), qui cherchent à moraliser le recours à la force en le subordonnant à des conditions strictes de justice, et la tradition inaugurée par Grotius, qui refuse cette moralisation au profit d'une approche purement politique et juridique de la guerre : est ainsi posé le principe de non-confusion entre l'ennemi, adversaire politique, et la personne, qu'on ne saurait haïr en tant que telle.</w:t>
      </w:r>
    </w:p>
    <w:p>
      <w:pPr>
        <w:spacing w:after="200" w:line="276"/>
      </w:pPr>
      <w:r>
        <w:rPr>
          <w:sz w:val="22"/>
          <w:szCs w:val="22"/>
        </w:rPr>
        <w:t xml:space="preserve">Ce cadre juridique trouve son moment fondateur dans les traités de Westphalie de 1648, qui associent la consolidation des États européens modernes à la naissance d'un droit des gens, ancêtre du droit international et des droits de l'homme contemporains. Gros montre ensuite comment cette architecture juridique a été fragilisée au XXe siècle — notamment par le juriste allemand Carl Schmitt, qui réintroduit une conception de la guerre où légitimité et légalité se confondent, ouvrant la voie à des usages plus instrumentaux du droit de la guerre. Aujourd'hui, les nouvelles formes de violence (guerres asymétriques, interventions humanitaires, frappes ciblées) échappent largement aux catégories juridiques classiques du droit de la guerre, ce qui constitue, pour Gros, le troisième et dernier pilier de la disparition de la guerre au sens classique.</w:t>
      </w:r>
    </w:p>
    <w:p>
      <w:pPr>
        <w:pStyle w:val="Heading1"/>
        <w:spacing w:after="180" w:before="360"/>
      </w:pPr>
      <w:r>
        <w:t xml:space="preserve">IV. Concepts clés à retenir</w:t>
      </w:r>
    </w:p>
    <w:p>
      <w:pPr>
        <w:pStyle w:val="ListParagraph"/>
        <w:numPr>
          <w:ilvl w:val="0"/>
          <w:numId w:val="1"/>
        </w:numPr>
        <w:spacing w:after="100"/>
      </w:pPr>
      <w:r>
        <w:rPr>
          <w:b/>
          <w:bCs/>
          <w:sz w:val="21"/>
          <w:szCs w:val="21"/>
        </w:rPr>
        <w:t xml:space="preserve">États de violence — </w:t>
      </w:r>
      <w:r>
        <w:rPr>
          <w:sz w:val="21"/>
          <w:szCs w:val="21"/>
        </w:rPr>
        <w:t xml:space="preserve">expression forgée par Gros pour désigner, « par provision », la configuration contemporaine de la violence : diffuse, unilatérale, non indexée à la distinction classique guerre/paix.</w:t>
      </w:r>
    </w:p>
    <w:p>
      <w:pPr>
        <w:pStyle w:val="ListParagraph"/>
        <w:numPr>
          <w:ilvl w:val="0"/>
          <w:numId w:val="1"/>
        </w:numPr>
        <w:spacing w:after="100"/>
      </w:pPr>
      <w:r>
        <w:rPr>
          <w:b/>
          <w:bCs/>
          <w:sz w:val="21"/>
          <w:szCs w:val="21"/>
        </w:rPr>
        <w:t xml:space="preserve">Échange réciproque de la mort — </w:t>
      </w:r>
      <w:r>
        <w:rPr>
          <w:sz w:val="21"/>
          <w:szCs w:val="21"/>
        </w:rPr>
        <w:t xml:space="preserve">principe qui structurait historiquement le combat guerrier (chaque combattant peut tuer et être tué) et qui disparaît dans les états de violence, où la violence devient unilatérale.</w:t>
      </w:r>
    </w:p>
    <w:p>
      <w:pPr>
        <w:pStyle w:val="ListParagraph"/>
        <w:numPr>
          <w:ilvl w:val="0"/>
          <w:numId w:val="1"/>
        </w:numPr>
        <w:spacing w:after="100"/>
      </w:pPr>
      <w:r>
        <w:rPr>
          <w:b/>
          <w:bCs/>
          <w:sz w:val="21"/>
          <w:szCs w:val="21"/>
        </w:rPr>
        <w:t xml:space="preserve">Guerre juste (jus ad bellum) — </w:t>
      </w:r>
      <w:r>
        <w:rPr>
          <w:sz w:val="21"/>
          <w:szCs w:val="21"/>
        </w:rPr>
        <w:t xml:space="preserve">tradition théologico-juridique qui subordonne la légitimité du recours à la force à des conditions morales strictes ; s'oppose à la tradition grotienne qui sépare le politique du moral.</w:t>
      </w:r>
    </w:p>
    <w:p>
      <w:pPr>
        <w:pStyle w:val="ListParagraph"/>
        <w:numPr>
          <w:ilvl w:val="0"/>
          <w:numId w:val="1"/>
        </w:numPr>
        <w:spacing w:after="100"/>
      </w:pPr>
      <w:r>
        <w:rPr>
          <w:b/>
          <w:bCs/>
          <w:sz w:val="21"/>
          <w:szCs w:val="21"/>
        </w:rPr>
        <w:t xml:space="preserve">Droit des gens — </w:t>
      </w:r>
      <w:r>
        <w:rPr>
          <w:sz w:val="21"/>
          <w:szCs w:val="21"/>
        </w:rPr>
        <w:t xml:space="preserve">corpus juridique né avec les traités de Westphalie (1648), ancêtre du droit international contemporain et des droits de l'homme.</w:t>
      </w:r>
    </w:p>
    <w:p>
      <w:pPr>
        <w:pStyle w:val="ListParagraph"/>
        <w:numPr>
          <w:ilvl w:val="0"/>
          <w:numId w:val="1"/>
        </w:numPr>
        <w:spacing w:after="100"/>
      </w:pPr>
      <w:r>
        <w:rPr>
          <w:b/>
          <w:bCs/>
          <w:sz w:val="21"/>
          <w:szCs w:val="21"/>
        </w:rPr>
        <w:t xml:space="preserve">Intervention et sécurité — </w:t>
      </w:r>
      <w:r>
        <w:rPr>
          <w:sz w:val="21"/>
          <w:szCs w:val="21"/>
        </w:rPr>
        <w:t xml:space="preserve">catégories contemporaines qui, selon Gros, se substituent progressivement aux catégories classiques de guerre et de paix pour penser l'usage de la force.</w:t>
      </w:r>
    </w:p>
    <w:p>
      <w:pPr>
        <w:pStyle w:val="Heading1"/>
        <w:spacing w:after="180" w:before="360"/>
      </w:pPr>
      <w:r>
        <w:t xml:space="preserve">V. Réception critique et limites de l'ouvrage</w:t>
      </w:r>
    </w:p>
    <w:p>
      <w:pPr>
        <w:spacing w:after="200" w:line="276"/>
      </w:pPr>
      <w:r>
        <w:rPr>
          <w:sz w:val="22"/>
          <w:szCs w:val="22"/>
        </w:rPr>
        <w:t xml:space="preserve">La réception critique de l'ouvrage, dans les revues spécialisées, a généralement salué la qualité de l'enquête philosophique et historique, tout en pointant un déséquilibre entre les moyens déployés et la thèse finalement défendue. Le compte rendu paru dans la revue Anthropologie et Sociétés relève ainsi que la thèse sur les « états de violence », pourtant la plus originale du livre, n'occupe qu'une faible proportion du volume, l'essentiel de l'ouvrage étant consacré à la reconstitution du concept classique de guerre à travers la tradition philosophique. Ce déséquilibre peut être lu de deux manières en atelier : soit comme une faiblesse de construction (une conclusion trop brève pour une thèse aussi forte), soit comme une démonstration méthodologique délibérée — comprendre ce qui disparaît suppose d'abord d'avoir précisément établi ce que c'était.</w:t>
      </w:r>
    </w:p>
    <w:p>
      <w:pPr>
        <w:spacing w:after="200" w:line="276"/>
      </w:pPr>
      <w:r>
        <w:rPr>
          <w:sz w:val="22"/>
          <w:szCs w:val="22"/>
        </w:rPr>
        <w:t xml:space="preserve">Un autre point de discussion, relevé par certains lecteurs, porte sur l'argument de la médiatisation : Gros suggère que la diffusion massive d'images de victimes, indifférenciées quelle que soit leur origine (attentats, catastrophes, tueries), rend plus difficile l'application des critères classiques de la guerre juste. Cet argument peut être discuté : la médiatisation à outrance des violences n'est pas propre à notre époque, et l'on peut se demander si elle affaiblit réellement la distinction entre combattants et non-combattants plus que ne le faisaient déjà, en leur temps, les grandes guerres du XXe siècle.</w:t>
      </w:r>
    </w:p>
    <w:p>
      <w:pPr>
        <w:pStyle w:val="Heading1"/>
        <w:spacing w:after="180" w:before="360"/>
      </w:pPr>
      <w:r>
        <w:t xml:space="preserve">VI. Pistes d'utilisation pour la dissertation « la paix »</w:t>
      </w:r>
    </w:p>
    <w:p>
      <w:pPr>
        <w:spacing w:after="200" w:line="276"/>
      </w:pPr>
      <w:r>
        <w:rPr>
          <w:sz w:val="22"/>
          <w:szCs w:val="22"/>
        </w:rPr>
        <w:t xml:space="preserve">Cet ouvrage est précieux pour éviter l'écueil le plus commun du sujet — définir la paix comme simple absence de guerre — en proposant une alternative plus fine : penser la paix et la guerre comme un couple conceptuel commun, aujourd'hui débordé par un troisième terme, les états de violence, qui n'appartient ni à l'un ni à l'autre. On peut ainsi s'en servir pour interroger, en dissertation, si la paix contemporaine n'est pas elle-même redéfinie par ce basculement : une paix qui ne serait plus l'absence de guerre, mais la gestion permanente d'états de violence diffus, par les logiques d'intervention et de sécurité.</w:t>
      </w:r>
    </w:p>
    <w:p>
      <w:pPr>
        <w:spacing w:after="200" w:line="276"/>
      </w:pPr>
      <w:r>
        <w:rPr>
          <w:sz w:val="22"/>
          <w:szCs w:val="22"/>
        </w:rPr>
        <w:t xml:space="preserve">L'ouvrage dialogue particulièrement bien avec Pierre Hassner (La violence et la paix), sur la question du recul de la guerre interétatique classique au profit de violences infra-étatiques, ainsi qu'avec Michael Walzer (Guerres justes et injustes), sur la tradition de la guerre juste que Gros retrace du côté théologique et juridique. Il peut également nourrir une discussion critique avec Achille Mbembe (Politiques de l'inimitié), les deux auteurs partageant l'idée que les catégories classiques de la guerre et de la paix ne suffisent plus à décrire la violence contemporaine, tout en divergeant sur les causes de cette mutation — généalogie philosophique interne chez Gros, critique postcoloniale du pouvoir chez Mbembe.</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2026-08-18T14:07:59.010Z</dcterms:created>
  <dcterms:modified xsi:type="dcterms:W3CDTF">2026-08-18T14:07:59.024Z</dcterms:modified>
</cp:coreProperties>
</file>

<file path=docProps/custom.xml><?xml version="1.0" encoding="utf-8"?>
<Properties xmlns="http://schemas.openxmlformats.org/officeDocument/2006/custom-properties" xmlns:vt="http://schemas.openxmlformats.org/officeDocument/2006/docPropsVTypes"/>
</file>