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Bloggers 4è- Kamala Harris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3400425</wp:posOffset>
            </wp:positionH>
            <wp:positionV relativeFrom="paragraph">
              <wp:posOffset>161925</wp:posOffset>
            </wp:positionV>
            <wp:extent cx="930207" cy="661988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207" cy="661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By Karine LOISON - Académie de Créteil</w:t>
      </w:r>
    </w:p>
    <w:p w:rsidR="00000000" w:rsidDel="00000000" w:rsidP="00000000" w:rsidRDefault="00000000" w:rsidRPr="00000000" w14:paraId="00000003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 - Today’s lesson: 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Comic Sans MS" w:cs="Comic Sans MS" w:eastAsia="Comic Sans MS" w:hAnsi="Comic Sans MS"/>
          <w:b w:val="1"/>
          <w:bCs w:val="1"/>
          <w:i w:val="1"/>
          <w:iCs w:val="1"/>
          <w:color w:val="243238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243238"/>
          <w:sz w:val="18"/>
          <w:szCs w:val="18"/>
          <w:rtl w:val="0"/>
        </w:rPr>
        <w:t xml:space="preserve">(Rappel: tu dois lire ta leçon à haute voix, l’apprendre par cœur, puis la réciter à l’écrit, en autodictée sans tricher! Seulement quand tu y arrives, tu peux te dire que tu connais bien ta leçon).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Comic Sans MS" w:cs="Comic Sans MS" w:eastAsia="Comic Sans MS" w:hAnsi="Comic Sans MS"/>
          <w:b w:val="1"/>
          <w:bCs w:val="1"/>
          <w:i w:val="1"/>
          <w:iCs w:val="1"/>
          <w:color w:val="243238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240" w:line="360" w:lineRule="auto"/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Kamala Harris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She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was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the first Asian-American and African-American woman to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become vice-president of the USA. It was in 2021. She was Joe BIDEN’s vice-president.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her first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speech*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she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thanked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her mum and all the remarkable women who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inspired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her.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Before that, she was 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lawyer*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and 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politician*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0" w:afterAutospacing="0" w:before="0" w:before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She is a democrat = she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belongs to*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the democratic party.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240" w:before="0" w:beforeAutospacing="0" w:line="36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Josh thinks Izzy's project is fantastic / amazing / great.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Rule="auto"/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II - Vocabulary box: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243238"/>
          <w:sz w:val="18"/>
          <w:szCs w:val="18"/>
          <w:rtl w:val="0"/>
        </w:rPr>
        <w:t xml:space="preserve">(N’hésite à pas à ajouter des mots et chercher le vocabulaire que tu ne comprends pas sur wordreference.com)</w:t>
      </w:r>
      <w:r w:rsidDel="00000000" w:rsidR="00000000" w:rsidRPr="00000000">
        <w:rPr>
          <w:rtl w:val="0"/>
        </w:rPr>
      </w:r>
    </w:p>
    <w:tbl>
      <w:tblPr>
        <w:tblStyle w:val="Table2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669.44"/>
        <w:gridCol w:w="3669.44"/>
        <w:tblGridChange w:id="0">
          <w:tblGrid>
            <w:gridCol w:w="3669.44"/>
            <w:gridCol w:w="3669.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2190750" cy="21717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7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Speech: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discours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Lawyer: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avocat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Politician: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femme/ homme politique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Belong to: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appartenir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2162175</wp:posOffset>
            </wp:positionH>
            <wp:positionV relativeFrom="paragraph">
              <wp:posOffset>161925</wp:posOffset>
            </wp:positionV>
            <wp:extent cx="247998" cy="290513"/>
            <wp:effectExtent b="0" l="0" r="0" t="0"/>
            <wp:wrapNone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998" cy="290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spacing w:after="200" w:lineRule="auto"/>
        <w:rPr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III - Think about it! :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243238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240" w:befor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u w:val="single"/>
                <w:rtl w:val="0"/>
              </w:rPr>
              <w:t xml:space="preserve">Remarque: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on est au prétérit dans cette leçon, car le mandat de Kamala Harris est terminé. Il a commencé en 2021 et s’est fini en janvier 2025.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Rule="auto"/>
        <w:rPr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IV - Extra :</w:t>
      </w:r>
      <w:r w:rsidDel="00000000" w:rsidR="00000000" w:rsidRPr="00000000">
        <w:rPr>
          <w:rtl w:val="0"/>
        </w:rPr>
      </w:r>
    </w:p>
    <w:tbl>
      <w:tblPr>
        <w:tblStyle w:val="Table4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669.44"/>
        <w:gridCol w:w="3669.44"/>
        <w:tblGridChange w:id="0">
          <w:tblGrid>
            <w:gridCol w:w="3669.44"/>
            <w:gridCol w:w="3669.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ff"/>
              </w:rPr>
            </w:pPr>
            <w:r w:rsidDel="00000000" w:rsidR="00000000" w:rsidRPr="00000000">
              <w:rPr>
                <w:b w:val="1"/>
                <w:bCs w:val="1"/>
                <w:color w:val="9900ff"/>
                <w:rtl w:val="0"/>
              </w:rPr>
              <w:t xml:space="preserve">Aux USA, les élections présidentielles ont lieu tous les 4 ans.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Un président américain peut être élu 2 fois de suite, mais pas plus.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Il n’y a encore jamais eu de femme présidente aux USA.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  <w:cols w:equalWidth="0" w:num="2">
        <w:col w:space="720" w:w="7338.88"/>
        <w:col w:space="0" w:w="7338.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118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