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Bloggers 4è- Hidden figures 2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161925</wp:posOffset>
            </wp:positionV>
            <wp:extent cx="930207" cy="66198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24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u w:val="single"/>
                <w:rtl w:val="0"/>
              </w:rPr>
              <w:t xml:space="preserve">Hidden figures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b w:val="1"/>
                <w:bCs w:val="1"/>
                <w:color w:val="2432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We saw the first part of the film </w:t>
            </w:r>
            <w:r w:rsidDel="00000000" w:rsidR="00000000" w:rsidRPr="00000000">
              <w:rPr>
                <w:i w:val="1"/>
                <w:iCs w:val="1"/>
                <w:color w:val="243238"/>
                <w:sz w:val="24"/>
                <w:szCs w:val="24"/>
                <w:rtl w:val="0"/>
              </w:rPr>
              <w:t xml:space="preserve">“Hidden Figures”.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rtl w:val="0"/>
              </w:rPr>
              <w:t xml:space="preserve">takes place*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 in Virginia, in the USA, in 1961.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The three women are going to work. They work for NASA.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NASA is a space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programme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 in the USA.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They want to go into </w:t>
            </w: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rtl w:val="0"/>
              </w:rPr>
              <w:t xml:space="preserve">space*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They want to send people into space so they </w:t>
            </w: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rtl w:val="0"/>
              </w:rPr>
              <w:t xml:space="preserve">need*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 computers.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A computer is a person who can calculate.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Katherine Johnson is very </w:t>
            </w: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rtl w:val="0"/>
              </w:rPr>
              <w:t xml:space="preserve">smart*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. She's very </w:t>
            </w:r>
            <w:r w:rsidDel="00000000" w:rsidR="00000000" w:rsidRPr="00000000">
              <w:rPr>
                <w:b w:val="1"/>
                <w:bCs w:val="1"/>
                <w:color w:val="243238"/>
                <w:sz w:val="24"/>
                <w:szCs w:val="24"/>
                <w:rtl w:val="0"/>
              </w:rPr>
              <w:t xml:space="preserve">clever*</w:t>
            </w:r>
            <w:r w:rsidDel="00000000" w:rsidR="00000000" w:rsidRPr="00000000">
              <w:rPr>
                <w:color w:val="243238"/>
                <w:sz w:val="24"/>
                <w:szCs w:val="24"/>
                <w:rtl w:val="0"/>
              </w:rPr>
              <w:t xml:space="preserve">. She can help the team to find the solution to their problem.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color w:val="2432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0" w:beforeAutospacing="0" w:line="360" w:lineRule="auto"/>
              <w:ind w:left="720" w:hanging="360"/>
              <w:rPr>
                <w:color w:val="24323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rHeight w:val="3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976438" cy="1959251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38" cy="19592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To take place: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avoir lieu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Space: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l’espace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Need: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avoir besoin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Smart: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intelligent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Clever: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intelligent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u w:val="single"/>
                <w:rtl w:val="0"/>
              </w:rPr>
              <w:t xml:space="preserve">Remarque: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Certains mots ont une orthographe différente selon qu'ils sont en anglais britannique ou en américain. </w:t>
            </w:r>
          </w:p>
          <w:p w:rsidR="00000000" w:rsidDel="00000000" w:rsidP="00000000" w:rsidRDefault="00000000" w:rsidRPr="00000000" w14:paraId="0000001D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u w:val="single"/>
                <w:rtl w:val="0"/>
              </w:rPr>
              <w:t xml:space="preserve">Ex: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programme (U.K) / program (U.S)</w:t>
            </w:r>
          </w:p>
          <w:p w:rsidR="00000000" w:rsidDel="00000000" w:rsidP="00000000" w:rsidRDefault="00000000" w:rsidRPr="00000000" w14:paraId="0000001E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     Coloured (U.K) / colored (U.S) 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Pour comprendre des documents audio ou vidéo longs,</w:t>
            </w:r>
            <w:r w:rsidDel="00000000" w:rsidR="00000000" w:rsidRPr="00000000">
              <w:rPr>
                <w:b w:val="1"/>
                <w:bCs w:val="1"/>
                <w:color w:val="9900ff"/>
                <w:u w:val="single"/>
                <w:rtl w:val="0"/>
              </w:rPr>
              <w:t xml:space="preserve"> pas besoin de tout comprendre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. Repère les </w:t>
            </w:r>
            <w:r w:rsidDel="00000000" w:rsidR="00000000" w:rsidRPr="00000000">
              <w:rPr>
                <w:b w:val="1"/>
                <w:bCs w:val="1"/>
                <w:color w:val="9900ff"/>
                <w:u w:val="single"/>
                <w:rtl w:val="0"/>
              </w:rPr>
              <w:t xml:space="preserve">mots-clés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 et aide-toi des </w:t>
            </w:r>
            <w:r w:rsidDel="00000000" w:rsidR="00000000" w:rsidRPr="00000000">
              <w:rPr>
                <w:b w:val="1"/>
                <w:bCs w:val="1"/>
                <w:color w:val="9900ff"/>
                <w:u w:val="single"/>
                <w:rtl w:val="0"/>
              </w:rPr>
              <w:t xml:space="preserve">images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 ou des </w:t>
            </w:r>
            <w:r w:rsidDel="00000000" w:rsidR="00000000" w:rsidRPr="00000000">
              <w:rPr>
                <w:b w:val="1"/>
                <w:bCs w:val="1"/>
                <w:color w:val="9900ff"/>
                <w:u w:val="single"/>
                <w:rtl w:val="0"/>
              </w:rPr>
              <w:t xml:space="preserve">sons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Tu peux </w:t>
            </w: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noter les dates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, les </w:t>
            </w: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lieux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, les </w:t>
            </w: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noms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 des personnages, qui ils sont…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Tous ces éléments t’aident à </w:t>
            </w: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comprendre le contexte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 et le sens de ce que tu entends.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