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AAE" w:rsidRDefault="00C41AAE" w:rsidP="00C41AAE">
      <w:pPr>
        <w:spacing w:after="0"/>
        <w:jc w:val="center"/>
        <w:rPr>
          <w:b/>
          <w:bCs/>
        </w:rPr>
      </w:pPr>
      <w:r>
        <w:rPr>
          <w:b/>
          <w:bCs/>
        </w:rPr>
        <w:t>R</w:t>
      </w:r>
      <w:r w:rsidRPr="00C41AAE">
        <w:rPr>
          <w:b/>
          <w:bCs/>
        </w:rPr>
        <w:t xml:space="preserve">éunion du groupe </w:t>
      </w:r>
      <w:r>
        <w:rPr>
          <w:b/>
          <w:bCs/>
        </w:rPr>
        <w:t>arts visuels, design, photographie</w:t>
      </w:r>
    </w:p>
    <w:p w:rsidR="00C41AAE" w:rsidRDefault="00C41AAE" w:rsidP="00C41AAE">
      <w:pPr>
        <w:spacing w:after="0"/>
        <w:jc w:val="center"/>
      </w:pPr>
      <w:r>
        <w:t>V</w:t>
      </w:r>
      <w:r w:rsidRPr="00C41AAE">
        <w:t>end</w:t>
      </w:r>
      <w:r>
        <w:t>redi 3 octobre 2025, 14h-16h - F</w:t>
      </w:r>
      <w:r w:rsidRPr="00C41AAE">
        <w:t>ondation Pernod-Ricard, Paris.</w:t>
      </w:r>
    </w:p>
    <w:p w:rsidR="00C41AAE" w:rsidRDefault="00C41AAE" w:rsidP="00C41AAE">
      <w:pPr>
        <w:spacing w:after="0"/>
        <w:jc w:val="center"/>
      </w:pPr>
    </w:p>
    <w:p w:rsidR="00C41AAE" w:rsidRDefault="009600DF" w:rsidP="00C41AAE">
      <w:pPr>
        <w:spacing w:after="0"/>
        <w:jc w:val="both"/>
      </w:pPr>
      <w:r>
        <w:t>Etai</w:t>
      </w:r>
      <w:r w:rsidR="00C41AAE">
        <w:t>t présente une cinquantaine de personnes (responsables EAC et chargées des pu</w:t>
      </w:r>
      <w:r>
        <w:t>blics, professeurs relais, rectorat et partenaire territorial</w:t>
      </w:r>
      <w:r w:rsidR="00C41AAE">
        <w:t xml:space="preserve">) des institutions suivantes : </w:t>
      </w:r>
      <w:proofErr w:type="spellStart"/>
      <w:r w:rsidR="003E7003">
        <w:t>Daac</w:t>
      </w:r>
      <w:proofErr w:type="spellEnd"/>
      <w:r w:rsidR="003E7003">
        <w:t xml:space="preserve">, </w:t>
      </w:r>
      <w:proofErr w:type="spellStart"/>
      <w:r w:rsidR="003E7003">
        <w:t>Dsden</w:t>
      </w:r>
      <w:proofErr w:type="spellEnd"/>
      <w:r w:rsidR="003E7003">
        <w:t xml:space="preserve"> 93 et 94,</w:t>
      </w:r>
      <w:r w:rsidR="00F441DB">
        <w:t xml:space="preserve"> région Île-de-France,</w:t>
      </w:r>
      <w:r w:rsidR="003E7003">
        <w:t xml:space="preserve"> fondation Pernod-Ricard, centre d’art et de recherche </w:t>
      </w:r>
      <w:proofErr w:type="spellStart"/>
      <w:r w:rsidR="003E7003">
        <w:t>Bétonsalon</w:t>
      </w:r>
      <w:proofErr w:type="spellEnd"/>
      <w:r w:rsidR="003E7003">
        <w:t xml:space="preserve">, La Galerie de Noisy-le-Sec, galerie municipale Fernand Léger d’Ivry, Magasins généraux de Pantin, CPIF de Pontault-Combault, </w:t>
      </w:r>
      <w:proofErr w:type="spellStart"/>
      <w:r w:rsidR="003E7003">
        <w:t>Cneai</w:t>
      </w:r>
      <w:proofErr w:type="spellEnd"/>
      <w:r w:rsidR="003E7003">
        <w:t xml:space="preserve">, Ferme du Buisson de Noisiel, MACVAL Vitry-sur-Seine, Le Bal, MEP, Lavoir numérique-maison Doisneau de Gentilly, Le 19M, le JAD de Sèvres, musée Rodin, musée du Louvre, MAD, musées d’Orsay et de l’Orangerie, </w:t>
      </w:r>
      <w:r w:rsidR="00F35A66">
        <w:t xml:space="preserve">musée national Picasso-Paris, </w:t>
      </w:r>
      <w:r w:rsidR="003E7003">
        <w:t>musée d</w:t>
      </w:r>
      <w:r>
        <w:t>e la chasse et de la nature, musée d’art moderne de Paris</w:t>
      </w:r>
      <w:r w:rsidR="003E7003">
        <w:t xml:space="preserve">, musée Cernuschi, Paris-musées, Bourse de Commerce – Pinault collection, institut Giacometti, Centre Pompidou, cité de l’architecture et du patrimoine, société des grands projets, Beaux-Arts de Paris, ENSAP-Villette. </w:t>
      </w:r>
    </w:p>
    <w:p w:rsidR="00F35A66" w:rsidRDefault="00F35A66" w:rsidP="00C41AAE">
      <w:pPr>
        <w:spacing w:after="0"/>
        <w:jc w:val="both"/>
      </w:pPr>
    </w:p>
    <w:p w:rsidR="00F35A66" w:rsidRDefault="00F35A66" w:rsidP="00C41AAE">
      <w:pPr>
        <w:spacing w:after="0"/>
        <w:jc w:val="both"/>
      </w:pPr>
      <w:r>
        <w:t xml:space="preserve">Toutes les ressources et informations précises </w:t>
      </w:r>
      <w:r w:rsidR="009600DF">
        <w:t xml:space="preserve">sont consultables </w:t>
      </w:r>
      <w:r>
        <w:t xml:space="preserve">sur le </w:t>
      </w:r>
      <w:proofErr w:type="spellStart"/>
      <w:r>
        <w:t>netboard</w:t>
      </w:r>
      <w:proofErr w:type="spellEnd"/>
      <w:r>
        <w:t xml:space="preserve"> du groupe :</w:t>
      </w:r>
    </w:p>
    <w:p w:rsidR="00F35A66" w:rsidRPr="00C41AAE" w:rsidRDefault="00F35A66" w:rsidP="00C41AAE">
      <w:pPr>
        <w:spacing w:after="0"/>
        <w:jc w:val="both"/>
      </w:pPr>
      <w:r>
        <w:t xml:space="preserve"> </w:t>
      </w:r>
      <w:hyperlink r:id="rId5" w:history="1">
        <w:r w:rsidRPr="001C0021">
          <w:rPr>
            <w:rStyle w:val="Lienhypertexte"/>
          </w:rPr>
          <w:t>https://sylvainbory.netboard.me/groupecrsteilav/?tab=414213</w:t>
        </w:r>
      </w:hyperlink>
      <w:r>
        <w:t xml:space="preserve"> </w:t>
      </w:r>
    </w:p>
    <w:p w:rsidR="00C41AAE" w:rsidRPr="00C41AAE" w:rsidRDefault="00C41AAE" w:rsidP="00C41AAE">
      <w:pPr>
        <w:spacing w:after="0"/>
      </w:pPr>
    </w:p>
    <w:p w:rsidR="00C41AAE" w:rsidRPr="00C41AAE" w:rsidRDefault="00C41AAE" w:rsidP="00F35A66">
      <w:pPr>
        <w:spacing w:after="0"/>
        <w:jc w:val="both"/>
      </w:pPr>
      <w:r w:rsidRPr="00C41AAE">
        <w:rPr>
          <w:b/>
          <w:bCs/>
          <w:u w:val="single"/>
        </w:rPr>
        <w:t>Ordre du jour</w:t>
      </w:r>
    </w:p>
    <w:p w:rsidR="00C41AAE" w:rsidRPr="00C41AAE" w:rsidRDefault="00C41AAE" w:rsidP="00F35A66">
      <w:pPr>
        <w:spacing w:after="0"/>
        <w:jc w:val="both"/>
      </w:pPr>
    </w:p>
    <w:p w:rsidR="00C41AAE" w:rsidRPr="00C41AAE" w:rsidRDefault="00C41AAE" w:rsidP="00F35A66">
      <w:pPr>
        <w:spacing w:after="0"/>
        <w:jc w:val="both"/>
      </w:pPr>
      <w:r w:rsidRPr="00F35A66">
        <w:rPr>
          <w:b/>
        </w:rPr>
        <w:t>1. Mot d'accueil et présentation de la fondation</w:t>
      </w:r>
      <w:r w:rsidRPr="00C41AAE">
        <w:t xml:space="preserve"> par Alice </w:t>
      </w:r>
      <w:proofErr w:type="spellStart"/>
      <w:r w:rsidRPr="00C41AAE">
        <w:t>Mouldaia</w:t>
      </w:r>
      <w:proofErr w:type="spellEnd"/>
      <w:r w:rsidRPr="00C41AAE">
        <w:t>, chargée des publics.</w:t>
      </w:r>
    </w:p>
    <w:p w:rsidR="00C41AAE" w:rsidRDefault="00F35A66" w:rsidP="00F35A66">
      <w:pPr>
        <w:spacing w:after="0"/>
        <w:jc w:val="both"/>
      </w:pPr>
      <w:r>
        <w:rPr>
          <w:b/>
        </w:rPr>
        <w:t>2. Mot d'introduction de</w:t>
      </w:r>
      <w:r w:rsidR="00C41AAE" w:rsidRPr="00F35A66">
        <w:rPr>
          <w:b/>
        </w:rPr>
        <w:t xml:space="preserve"> </w:t>
      </w:r>
      <w:proofErr w:type="spellStart"/>
      <w:r w:rsidR="00C41AAE" w:rsidRPr="00F35A66">
        <w:rPr>
          <w:b/>
        </w:rPr>
        <w:t>Cléo</w:t>
      </w:r>
      <w:proofErr w:type="spellEnd"/>
      <w:r w:rsidR="00C41AAE" w:rsidRPr="00F35A66">
        <w:rPr>
          <w:b/>
        </w:rPr>
        <w:t xml:space="preserve"> </w:t>
      </w:r>
      <w:proofErr w:type="spellStart"/>
      <w:r w:rsidR="00C41AAE" w:rsidRPr="00F35A66">
        <w:rPr>
          <w:b/>
        </w:rPr>
        <w:t>Coze</w:t>
      </w:r>
      <w:proofErr w:type="spellEnd"/>
      <w:r w:rsidR="00C41AAE" w:rsidRPr="00C41AAE">
        <w:t>, déléguée académique à l'édu</w:t>
      </w:r>
      <w:r>
        <w:t>cation artistique et culturelle</w:t>
      </w:r>
      <w:r w:rsidR="009600DF">
        <w:t>,</w:t>
      </w:r>
      <w:r>
        <w:t xml:space="preserve"> qui souligne la place de la culture et de l’EAC sur le territoire de Créteil, sous l’impulsion du recteur, dans le cadre du futur projet académique (ambition culture), l’importance du partenariat au cœur des pratiques EAC</w:t>
      </w:r>
      <w:r w:rsidR="009600DF">
        <w:t xml:space="preserve"> et des projets</w:t>
      </w:r>
      <w:r>
        <w:t xml:space="preserve">, l’importance du réseau des lieux culturels et </w:t>
      </w:r>
      <w:r w:rsidR="009600DF">
        <w:t xml:space="preserve">de ces moments de rencontres, </w:t>
      </w:r>
      <w:r>
        <w:t>d’échanges</w:t>
      </w:r>
      <w:r w:rsidR="009600DF">
        <w:t xml:space="preserve"> et de coopération</w:t>
      </w:r>
      <w:r>
        <w:t>.</w:t>
      </w:r>
    </w:p>
    <w:p w:rsidR="00F35A66" w:rsidRPr="00C41AAE" w:rsidRDefault="00F35A66" w:rsidP="00F35A66">
      <w:pPr>
        <w:spacing w:after="0"/>
        <w:jc w:val="both"/>
      </w:pPr>
      <w:r>
        <w:t>Présentation de chaque personne/institution présente.</w:t>
      </w:r>
    </w:p>
    <w:p w:rsidR="00C41AAE" w:rsidRPr="00C41AAE" w:rsidRDefault="00C41AAE" w:rsidP="00C41AAE">
      <w:pPr>
        <w:spacing w:after="0"/>
      </w:pPr>
    </w:p>
    <w:p w:rsidR="00C41AAE" w:rsidRPr="00C41AAE" w:rsidRDefault="00C41AAE" w:rsidP="00F35A66">
      <w:pPr>
        <w:spacing w:after="0"/>
        <w:jc w:val="both"/>
      </w:pPr>
      <w:r w:rsidRPr="00F35A66">
        <w:rPr>
          <w:b/>
        </w:rPr>
        <w:t>3. La rentrée E</w:t>
      </w:r>
      <w:r w:rsidR="00F35A66" w:rsidRPr="00F35A66">
        <w:rPr>
          <w:b/>
        </w:rPr>
        <w:t>AC</w:t>
      </w:r>
    </w:p>
    <w:p w:rsidR="00C41AAE" w:rsidRPr="00F35A66" w:rsidRDefault="00C41AAE" w:rsidP="00F35A66">
      <w:pPr>
        <w:spacing w:after="0"/>
        <w:jc w:val="both"/>
        <w:rPr>
          <w:b/>
        </w:rPr>
      </w:pPr>
      <w:r w:rsidRPr="00F35A66">
        <w:rPr>
          <w:b/>
        </w:rPr>
        <w:t xml:space="preserve">- Le </w:t>
      </w:r>
      <w:proofErr w:type="spellStart"/>
      <w:r w:rsidRPr="00F35A66">
        <w:rPr>
          <w:b/>
        </w:rPr>
        <w:t>pass</w:t>
      </w:r>
      <w:proofErr w:type="spellEnd"/>
      <w:r w:rsidRPr="00F35A66">
        <w:rPr>
          <w:b/>
        </w:rPr>
        <w:t xml:space="preserve"> Culture</w:t>
      </w:r>
    </w:p>
    <w:p w:rsidR="00F35A66" w:rsidRPr="00F35A66" w:rsidRDefault="00F35A66" w:rsidP="00F35A66">
      <w:pPr>
        <w:spacing w:after="0"/>
        <w:jc w:val="both"/>
      </w:pPr>
      <w:r w:rsidRPr="00F35A66">
        <w:t xml:space="preserve">La lettre de cadrage pour la réouverture du </w:t>
      </w:r>
      <w:proofErr w:type="spellStart"/>
      <w:r w:rsidRPr="00F35A66">
        <w:t>pass</w:t>
      </w:r>
      <w:proofErr w:type="spellEnd"/>
      <w:r w:rsidRPr="00F35A66">
        <w:t xml:space="preserve"> Culture :</w:t>
      </w:r>
      <w:r>
        <w:t xml:space="preserve"> </w:t>
      </w:r>
      <w:hyperlink r:id="rId6" w:tgtFrame="_blank" w:history="1">
        <w:r w:rsidRPr="00F35A66">
          <w:rPr>
            <w:rStyle w:val="Lienhypertexte"/>
          </w:rPr>
          <w:t>https://www.education.gouv.fr/pass-culture-reouverture-de-la-part-collective-pour-la-deuxieme-partie-de-l-annee-civile-2025-450862</w:t>
        </w:r>
      </w:hyperlink>
    </w:p>
    <w:p w:rsidR="00F35A66" w:rsidRPr="00F35A66" w:rsidRDefault="00F35A66" w:rsidP="00F35A66">
      <w:pPr>
        <w:spacing w:after="0"/>
        <w:jc w:val="both"/>
      </w:pPr>
      <w:r w:rsidRPr="00F35A66">
        <w:t>Informations à retenir :</w:t>
      </w:r>
    </w:p>
    <w:p w:rsidR="00F35A66" w:rsidRPr="00F35A66" w:rsidRDefault="00F35A66" w:rsidP="00F35A66">
      <w:pPr>
        <w:spacing w:after="0"/>
        <w:jc w:val="both"/>
      </w:pPr>
      <w:r w:rsidRPr="00F35A66">
        <w:t>- réouverture des pré-inscriptions mi-septembre.</w:t>
      </w:r>
    </w:p>
    <w:p w:rsidR="00F35A66" w:rsidRPr="00F35A66" w:rsidRDefault="00F35A66" w:rsidP="00F35A66">
      <w:pPr>
        <w:spacing w:after="0"/>
        <w:jc w:val="both"/>
      </w:pPr>
      <w:r w:rsidRPr="00F35A66">
        <w:t>- Mise en œuvre des propositions validées à partir du 1er octobre</w:t>
      </w:r>
      <w:r>
        <w:t xml:space="preserve"> et création des offres possibles avant fin décembre pour des actions prévues en 2026</w:t>
      </w:r>
      <w:r w:rsidRPr="00F35A66">
        <w:t>.</w:t>
      </w:r>
    </w:p>
    <w:p w:rsidR="00F35A66" w:rsidRPr="00F35A66" w:rsidRDefault="00F35A66" w:rsidP="00F35A66">
      <w:pPr>
        <w:spacing w:after="0"/>
        <w:jc w:val="both"/>
      </w:pPr>
      <w:r w:rsidRPr="00F35A66">
        <w:t>- Fermeture fin décembre en attendant le nouveau budget 2026</w:t>
      </w:r>
      <w:r>
        <w:t xml:space="preserve"> (qui fonctionnera par année civile)</w:t>
      </w:r>
      <w:r w:rsidRPr="00F35A66">
        <w:t>.</w:t>
      </w:r>
    </w:p>
    <w:p w:rsidR="00F35A66" w:rsidRDefault="00F35A66" w:rsidP="00F35A66">
      <w:pPr>
        <w:spacing w:after="0"/>
        <w:jc w:val="both"/>
      </w:pPr>
      <w:r w:rsidRPr="00F35A66">
        <w:t>- En moyenne moins de 3 euros par élève pour la période septembre-décembre 2025.</w:t>
      </w:r>
    </w:p>
    <w:p w:rsidR="002C6D12" w:rsidRDefault="002C6D12" w:rsidP="00F35A66">
      <w:pPr>
        <w:spacing w:after="0"/>
        <w:jc w:val="both"/>
      </w:pPr>
    </w:p>
    <w:p w:rsidR="00F35A66" w:rsidRDefault="002C6D12" w:rsidP="00F35A66">
      <w:pPr>
        <w:spacing w:after="0"/>
        <w:jc w:val="both"/>
      </w:pPr>
      <w:r w:rsidRPr="0006673F">
        <w:rPr>
          <w:i/>
        </w:rPr>
        <w:t>Tour</w:t>
      </w:r>
      <w:r w:rsidR="00F35A66" w:rsidRPr="0006673F">
        <w:rPr>
          <w:i/>
        </w:rPr>
        <w:t xml:space="preserve"> d’auditorium sur la situation dans les structures</w:t>
      </w:r>
      <w:r w:rsidR="009600DF">
        <w:t> ;</w:t>
      </w:r>
      <w:r>
        <w:t xml:space="preserve"> à retenir :</w:t>
      </w:r>
    </w:p>
    <w:p w:rsidR="002C6D12" w:rsidRDefault="002C6D12" w:rsidP="00F35A66">
      <w:pPr>
        <w:spacing w:after="0"/>
        <w:jc w:val="both"/>
      </w:pPr>
      <w:r>
        <w:t xml:space="preserve">- Forte interrogation sur le financement réel des projets si la part du </w:t>
      </w:r>
      <w:proofErr w:type="spellStart"/>
      <w:r>
        <w:t>pass</w:t>
      </w:r>
      <w:proofErr w:type="spellEnd"/>
      <w:r>
        <w:t xml:space="preserve"> Culture est faible ou inexistante.</w:t>
      </w:r>
    </w:p>
    <w:p w:rsidR="002C6D12" w:rsidRDefault="002C6D12" w:rsidP="00F35A66">
      <w:pPr>
        <w:spacing w:after="0"/>
        <w:jc w:val="both"/>
      </w:pPr>
      <w:r>
        <w:t>- Inquiétude sur la « mise en concurrence » des projets au sein d’un établissement.</w:t>
      </w:r>
    </w:p>
    <w:p w:rsidR="002C6D12" w:rsidRDefault="002C6D12" w:rsidP="00F35A66">
      <w:pPr>
        <w:spacing w:after="0"/>
        <w:jc w:val="both"/>
        <w:rPr>
          <w:i/>
        </w:rPr>
      </w:pPr>
      <w:r>
        <w:t>- Rappel des priorités académiques envoyées aux chefs d’établissement à la rentrée (priorités : enseignements artistiques, dispositifs reconnus, projets inscrits dans le cadre d’appel</w:t>
      </w:r>
      <w:r w:rsidR="00F441DB">
        <w:t>s à projets. Non prioritaire</w:t>
      </w:r>
      <w:r>
        <w:t xml:space="preserve"> : le financement de la sortie ponctuelle) : il s’agit avant tout de maintenir la dimension partenariale et l’engagement du rectorat. </w:t>
      </w:r>
      <w:r w:rsidRPr="002C6D12">
        <w:rPr>
          <w:i/>
        </w:rPr>
        <w:t xml:space="preserve">Voir en annexe le courrier adressé aux chefs d’établissement à la rentrée par la </w:t>
      </w:r>
      <w:proofErr w:type="spellStart"/>
      <w:r w:rsidRPr="002C6D12">
        <w:rPr>
          <w:i/>
        </w:rPr>
        <w:t>Daac</w:t>
      </w:r>
      <w:proofErr w:type="spellEnd"/>
      <w:r w:rsidR="009600DF">
        <w:rPr>
          <w:i/>
        </w:rPr>
        <w:t xml:space="preserve"> (fin du compte rendu)</w:t>
      </w:r>
      <w:r w:rsidRPr="002C6D12">
        <w:rPr>
          <w:i/>
        </w:rPr>
        <w:t>.</w:t>
      </w:r>
    </w:p>
    <w:p w:rsidR="00F441DB" w:rsidRDefault="00F441DB" w:rsidP="00F35A66">
      <w:pPr>
        <w:spacing w:after="0"/>
        <w:jc w:val="both"/>
      </w:pPr>
      <w:r>
        <w:lastRenderedPageBreak/>
        <w:t>- Alerte sur des projets remis en question, reportés, abandonnés : entre adaptation lorsque c’est possible, redimensionnement lorsque cela a du sens, soutien et compensation par la str</w:t>
      </w:r>
      <w:r w:rsidR="009600DF">
        <w:t>ucture lorsque cela est soutenable</w:t>
      </w:r>
      <w:r>
        <w:t xml:space="preserve"> (</w:t>
      </w:r>
      <w:proofErr w:type="spellStart"/>
      <w:r>
        <w:t>cf</w:t>
      </w:r>
      <w:proofErr w:type="spellEnd"/>
      <w:r>
        <w:t xml:space="preserve"> </w:t>
      </w:r>
      <w:r w:rsidR="009600DF">
        <w:t xml:space="preserve">ex du </w:t>
      </w:r>
      <w:r>
        <w:t>courrier aux chefs des établissements en projet avec la Ferme du Buisson).</w:t>
      </w:r>
    </w:p>
    <w:p w:rsidR="00F441DB" w:rsidRDefault="00F441DB" w:rsidP="00F35A66">
      <w:pPr>
        <w:spacing w:after="0"/>
        <w:jc w:val="both"/>
      </w:pPr>
    </w:p>
    <w:p w:rsidR="00F441DB" w:rsidRPr="00F441DB" w:rsidRDefault="00F441DB" w:rsidP="00F35A66">
      <w:pPr>
        <w:spacing w:after="0"/>
        <w:jc w:val="both"/>
      </w:pPr>
      <w:r w:rsidRPr="0006673F">
        <w:rPr>
          <w:i/>
        </w:rPr>
        <w:t>- Question subsidiaire</w:t>
      </w:r>
      <w:r>
        <w:t xml:space="preserve"> : le financement des transports à partir de 2026 avec le passage des tickets au </w:t>
      </w:r>
      <w:proofErr w:type="spellStart"/>
      <w:r>
        <w:t>pass</w:t>
      </w:r>
      <w:proofErr w:type="spellEnd"/>
      <w:r>
        <w:t xml:space="preserve"> </w:t>
      </w:r>
      <w:proofErr w:type="spellStart"/>
      <w:r>
        <w:t>navigo</w:t>
      </w:r>
      <w:proofErr w:type="spellEnd"/>
      <w:r>
        <w:t xml:space="preserve"> individuel (comment financer la carte sur laquelle charger les billets ?). Exemple au lycée Suger de Saint-Denis avec l’achat de lot de cartes à recharger, partagé</w:t>
      </w:r>
      <w:r w:rsidR="009600DF">
        <w:t>e</w:t>
      </w:r>
      <w:r>
        <w:t xml:space="preserve">s par la communauté éducative à l’occasion des sorties/déplacements. Plus globalement, la </w:t>
      </w:r>
      <w:proofErr w:type="spellStart"/>
      <w:r>
        <w:t>Daac</w:t>
      </w:r>
      <w:proofErr w:type="spellEnd"/>
      <w:r>
        <w:t xml:space="preserve"> et la Région vont se renseigner sur les modalités d’organisation et de financement.</w:t>
      </w:r>
    </w:p>
    <w:p w:rsidR="00F35A66" w:rsidRPr="00C41AAE" w:rsidRDefault="00F35A66" w:rsidP="00F35A66">
      <w:pPr>
        <w:spacing w:after="0"/>
        <w:jc w:val="both"/>
      </w:pPr>
    </w:p>
    <w:p w:rsidR="00C41AAE" w:rsidRPr="00F441DB" w:rsidRDefault="00C41AAE" w:rsidP="00F35A66">
      <w:pPr>
        <w:spacing w:after="0"/>
        <w:jc w:val="both"/>
        <w:rPr>
          <w:b/>
        </w:rPr>
      </w:pPr>
      <w:r w:rsidRPr="00F441DB">
        <w:rPr>
          <w:b/>
        </w:rPr>
        <w:t>- L'ambition Culture du nouveau projet académique</w:t>
      </w:r>
    </w:p>
    <w:p w:rsidR="00F441DB" w:rsidRDefault="00F441DB" w:rsidP="00F35A66">
      <w:pPr>
        <w:spacing w:after="0"/>
        <w:jc w:val="both"/>
      </w:pPr>
      <w:r>
        <w:t>4 axes sur l’ambition « culture », qui pourront inspirer ou nourrir les projets d’établissement : "Vivre la culture", "Révéler les créativités", "découvrir la culture scientifique", "Métiers d'art" (présentation du projet académique par le recteur le mercredi 3 décembre).</w:t>
      </w:r>
    </w:p>
    <w:p w:rsidR="00F441DB" w:rsidRDefault="00F441DB" w:rsidP="00F35A66">
      <w:pPr>
        <w:spacing w:after="0"/>
        <w:jc w:val="both"/>
      </w:pPr>
      <w:r>
        <w:t xml:space="preserve">Ces fiches pourront fixer certains travaux du groupe, en particulier la dimension des métiers d’art avec l’idée de cartographier les dispositifs et les actions existantes –métiers d’art et du patrimoine, métiers </w:t>
      </w:r>
      <w:r w:rsidR="009600DF">
        <w:t xml:space="preserve">des musées et des institutions) : réunion à programmer avec les institutions concernées et volontaires. Un onglet est </w:t>
      </w:r>
      <w:proofErr w:type="gramStart"/>
      <w:r w:rsidR="009600DF">
        <w:t>ajoutée</w:t>
      </w:r>
      <w:proofErr w:type="gramEnd"/>
      <w:r w:rsidR="009600DF">
        <w:t xml:space="preserve"> au </w:t>
      </w:r>
      <w:proofErr w:type="spellStart"/>
      <w:r w:rsidR="009600DF">
        <w:t>netboard</w:t>
      </w:r>
      <w:proofErr w:type="spellEnd"/>
      <w:r w:rsidR="009600DF">
        <w:t xml:space="preserve"> pour y compiler toutes les initiatives actuelles.</w:t>
      </w:r>
    </w:p>
    <w:p w:rsidR="00F441DB" w:rsidRPr="00C41AAE" w:rsidRDefault="00F441DB" w:rsidP="00F35A66">
      <w:pPr>
        <w:spacing w:after="0"/>
        <w:jc w:val="both"/>
      </w:pPr>
    </w:p>
    <w:p w:rsidR="00C41AAE" w:rsidRPr="0006673F" w:rsidRDefault="00C41AAE" w:rsidP="00F35A66">
      <w:pPr>
        <w:spacing w:after="0"/>
        <w:jc w:val="both"/>
        <w:rPr>
          <w:b/>
        </w:rPr>
      </w:pPr>
      <w:r w:rsidRPr="0006673F">
        <w:rPr>
          <w:b/>
        </w:rPr>
        <w:t>- Missions exploratoires PEAC / Parcours Avenir</w:t>
      </w:r>
    </w:p>
    <w:p w:rsidR="00F441DB" w:rsidRDefault="00F441DB" w:rsidP="00F35A66">
      <w:pPr>
        <w:spacing w:after="0"/>
        <w:jc w:val="both"/>
      </w:pPr>
      <w:r>
        <w:t xml:space="preserve">Dans le cadre de l’ouverture de l’EAC à d’autres thématiques et d’autres services, pour en faire un levier essentiel du parcours de l’élève, une mission est lancée pour explorer les liens entre arts et métiers. </w:t>
      </w:r>
    </w:p>
    <w:p w:rsidR="004F1D2C" w:rsidRDefault="00F441DB" w:rsidP="00F35A66">
      <w:pPr>
        <w:spacing w:after="0"/>
        <w:jc w:val="both"/>
      </w:pPr>
      <w:r>
        <w:t>Elle pourra s’inspirer du Plan Avenir présentée à la rentrée 2025</w:t>
      </w:r>
      <w:r w:rsidR="004F1D2C">
        <w:t> :</w:t>
      </w:r>
    </w:p>
    <w:p w:rsidR="00F441DB" w:rsidRDefault="00F1188C" w:rsidP="00F35A66">
      <w:pPr>
        <w:spacing w:after="0"/>
        <w:jc w:val="both"/>
      </w:pPr>
      <w:hyperlink r:id="rId7" w:history="1">
        <w:r w:rsidR="004F1D2C" w:rsidRPr="001C0021">
          <w:rPr>
            <w:rStyle w:val="Lienhypertexte"/>
          </w:rPr>
          <w:t>https://www.education.gouv.fr/bo/2025/Hebdo27/MENE2518841C</w:t>
        </w:r>
      </w:hyperlink>
      <w:r w:rsidR="004F1D2C">
        <w:t xml:space="preserve"> </w:t>
      </w:r>
    </w:p>
    <w:p w:rsidR="004F1D2C" w:rsidRPr="00C41AAE" w:rsidRDefault="004F1D2C" w:rsidP="00F35A66">
      <w:pPr>
        <w:spacing w:after="0"/>
        <w:jc w:val="both"/>
      </w:pPr>
    </w:p>
    <w:p w:rsidR="004F1D2C" w:rsidRPr="0006673F" w:rsidRDefault="00C41AAE" w:rsidP="00F35A66">
      <w:pPr>
        <w:spacing w:after="0"/>
        <w:jc w:val="both"/>
        <w:rPr>
          <w:b/>
        </w:rPr>
      </w:pPr>
      <w:r w:rsidRPr="0006673F">
        <w:rPr>
          <w:b/>
        </w:rPr>
        <w:t>- Actualités diverses sur des textes de cadrage, des dispo</w:t>
      </w:r>
      <w:r w:rsidR="004F1D2C" w:rsidRPr="0006673F">
        <w:rPr>
          <w:b/>
        </w:rPr>
        <w:t xml:space="preserve">sitifs, des grands rendez-vous </w:t>
      </w:r>
    </w:p>
    <w:p w:rsidR="004F1D2C" w:rsidRDefault="004F1D2C" w:rsidP="00F35A66">
      <w:pPr>
        <w:spacing w:after="0"/>
        <w:jc w:val="both"/>
      </w:pPr>
      <w:r>
        <w:t>. Renforcement de la territorialisation de l’EAC permettant le travail conjoint rectorat, DSDEN, DRAC, conseils départementaux, pour s’assurer d’une coordination, d’une complémentarité et d’une cohérence des politiques EAC dans le parcours de l’élève de la mate</w:t>
      </w:r>
      <w:r w:rsidR="0005429F">
        <w:t>rnelle au lycée. Pilotage académique : 77 (</w:t>
      </w:r>
      <w:proofErr w:type="spellStart"/>
      <w:r w:rsidR="0005429F">
        <w:t>Cléo</w:t>
      </w:r>
      <w:proofErr w:type="spellEnd"/>
      <w:r w:rsidR="0005429F">
        <w:t xml:space="preserve"> </w:t>
      </w:r>
      <w:proofErr w:type="spellStart"/>
      <w:r w:rsidR="0005429F">
        <w:t>Coze</w:t>
      </w:r>
      <w:proofErr w:type="spellEnd"/>
      <w:r w:rsidR="0005429F">
        <w:t>), 93 (</w:t>
      </w:r>
      <w:proofErr w:type="spellStart"/>
      <w:r w:rsidR="0005429F">
        <w:t>Cléo</w:t>
      </w:r>
      <w:proofErr w:type="spellEnd"/>
      <w:r w:rsidR="0005429F">
        <w:t xml:space="preserve"> </w:t>
      </w:r>
      <w:proofErr w:type="spellStart"/>
      <w:r w:rsidR="0005429F">
        <w:t>Coze</w:t>
      </w:r>
      <w:proofErr w:type="spellEnd"/>
      <w:r w:rsidR="0005429F">
        <w:t>), 94 (Sylvain Bory).</w:t>
      </w:r>
    </w:p>
    <w:p w:rsidR="004F1D2C" w:rsidRDefault="004F1D2C" w:rsidP="00F35A66">
      <w:pPr>
        <w:spacing w:after="0"/>
        <w:jc w:val="both"/>
      </w:pPr>
      <w:r>
        <w:t>. IA : texte de cadrage. A noter que l’IA revient souvent dans les retours des enseignants formés (bilans). Réfléchir aux liens possibles dans le cadre de projets EAC (à partir de la 4</w:t>
      </w:r>
      <w:r w:rsidRPr="004F1D2C">
        <w:rPr>
          <w:vertAlign w:val="superscript"/>
        </w:rPr>
        <w:t>e</w:t>
      </w:r>
      <w:r>
        <w:t>).</w:t>
      </w:r>
    </w:p>
    <w:p w:rsidR="004F1D2C" w:rsidRDefault="004F1D2C" w:rsidP="00F35A66">
      <w:pPr>
        <w:spacing w:after="0"/>
        <w:jc w:val="both"/>
      </w:pPr>
      <w:r>
        <w:t xml:space="preserve">Lien : </w:t>
      </w:r>
      <w:hyperlink r:id="rId8" w:tgtFrame="_blank" w:history="1">
        <w:r w:rsidRPr="004F1D2C">
          <w:rPr>
            <w:rStyle w:val="Lienhypertexte"/>
          </w:rPr>
          <w:t>https://www.education.gouv.fr/cadre-d-usage-de-l-ia-en-education-450647</w:t>
        </w:r>
      </w:hyperlink>
    </w:p>
    <w:p w:rsidR="004F1D2C" w:rsidRDefault="004F1D2C" w:rsidP="00F35A66">
      <w:pPr>
        <w:spacing w:after="0"/>
        <w:jc w:val="both"/>
      </w:pPr>
      <w:r>
        <w:t>. Journées de formation des référents culture les jeudi 13 novembre (Lycée – table ronde sur la photographie, invitations possibles) et vendredi 14 novembre (Collège – table ronde sur la culture générale), le matin en plénière à l’Institut de France puis parcours de visite dans différentes structures l’après-midi (arts visuels : MAD, Louvre, Orsay, Centre Pompidou/Grand Palais, musée du Luxembourg, Beaux-Arts de Paris, Monnaie de Paris, Musée de la chasse et de la nature).</w:t>
      </w:r>
    </w:p>
    <w:p w:rsidR="00282581" w:rsidRDefault="00282581" w:rsidP="00F35A66">
      <w:pPr>
        <w:spacing w:after="0"/>
        <w:jc w:val="both"/>
      </w:pPr>
      <w:r>
        <w:t>. SPOART, événement artistique et sportif au bord du canal de l’Ourcq et de Saint-Denis (9, 10 ou 14 avril 2026)</w:t>
      </w:r>
      <w:r w:rsidR="009600DF">
        <w:t>.</w:t>
      </w:r>
    </w:p>
    <w:p w:rsidR="009600DF" w:rsidRDefault="009600DF" w:rsidP="00F35A66">
      <w:pPr>
        <w:spacing w:after="0"/>
        <w:jc w:val="both"/>
      </w:pPr>
      <w:r>
        <w:t>. ART-EXPRO 2026 : réunion le 10 octobre au rectorat pour connaître les modalités d’organisation.</w:t>
      </w:r>
    </w:p>
    <w:p w:rsidR="009600DF" w:rsidRDefault="009600DF" w:rsidP="00F35A66">
      <w:pPr>
        <w:spacing w:after="0"/>
        <w:jc w:val="both"/>
      </w:pPr>
      <w:r>
        <w:t xml:space="preserve">. Assises européennes de l’EAC (Amiens, 8-10 octobre) : si des partenaires y vont et peuvent partager leur note sur des sujets qui peuvent nourrir nos réflexions, ces notes sont les </w:t>
      </w:r>
      <w:proofErr w:type="spellStart"/>
      <w:r>
        <w:t>beinvenues</w:t>
      </w:r>
      <w:proofErr w:type="spellEnd"/>
      <w:r>
        <w:t>.</w:t>
      </w:r>
    </w:p>
    <w:p w:rsidR="004F1D2C" w:rsidRDefault="004F1D2C" w:rsidP="00F35A66">
      <w:pPr>
        <w:spacing w:after="0"/>
        <w:jc w:val="both"/>
      </w:pPr>
    </w:p>
    <w:p w:rsidR="004F1D2C" w:rsidRPr="0006673F" w:rsidRDefault="004F1D2C" w:rsidP="00F35A66">
      <w:pPr>
        <w:spacing w:after="0"/>
        <w:jc w:val="both"/>
        <w:rPr>
          <w:i/>
        </w:rPr>
      </w:pPr>
      <w:r w:rsidRPr="0006673F">
        <w:rPr>
          <w:i/>
        </w:rPr>
        <w:t xml:space="preserve">Infos complémentaires à la réunion : </w:t>
      </w:r>
    </w:p>
    <w:p w:rsidR="00C41AAE" w:rsidRDefault="004F1D2C" w:rsidP="00F35A66">
      <w:pPr>
        <w:spacing w:after="0"/>
        <w:jc w:val="both"/>
      </w:pPr>
      <w:r>
        <w:t xml:space="preserve">. </w:t>
      </w:r>
      <w:proofErr w:type="gramStart"/>
      <w:r w:rsidR="00C41AAE" w:rsidRPr="00C41AAE">
        <w:t>sémi</w:t>
      </w:r>
      <w:r>
        <w:t>naire</w:t>
      </w:r>
      <w:proofErr w:type="gramEnd"/>
      <w:r>
        <w:t xml:space="preserve"> inter-académique EAC et éducation prioritaire mardi 18 novembre au MNHI.</w:t>
      </w:r>
    </w:p>
    <w:p w:rsidR="004F1D2C" w:rsidRDefault="004F1D2C" w:rsidP="00F35A66">
      <w:pPr>
        <w:spacing w:after="0"/>
        <w:jc w:val="both"/>
      </w:pPr>
      <w:r>
        <w:t xml:space="preserve">. </w:t>
      </w:r>
      <w:proofErr w:type="gramStart"/>
      <w:r>
        <w:t>séminaire</w:t>
      </w:r>
      <w:proofErr w:type="gramEnd"/>
      <w:r>
        <w:t xml:space="preserve"> académique EAC probablement sur la voie professionnelle (printemps 26), à travailler.</w:t>
      </w:r>
    </w:p>
    <w:p w:rsidR="00C41AAE" w:rsidRPr="0006673F" w:rsidRDefault="00C41AAE" w:rsidP="00F35A66">
      <w:pPr>
        <w:spacing w:after="0"/>
        <w:jc w:val="both"/>
        <w:rPr>
          <w:b/>
        </w:rPr>
      </w:pPr>
      <w:r w:rsidRPr="0006673F">
        <w:rPr>
          <w:b/>
        </w:rPr>
        <w:lastRenderedPageBreak/>
        <w:t>- L'EAC pour les élèves : bilan des différents appels à projets et perspectives de suivi et d'évolution</w:t>
      </w:r>
    </w:p>
    <w:p w:rsidR="0005429F" w:rsidRDefault="0005429F" w:rsidP="00F35A66">
      <w:pPr>
        <w:spacing w:after="0"/>
        <w:jc w:val="both"/>
      </w:pPr>
      <w:r>
        <w:t xml:space="preserve">Voir l’onglet afférent pour le bilan synthétique des AAP Région, Drac (résidences </w:t>
      </w:r>
      <w:r w:rsidR="0006673F">
        <w:t xml:space="preserve">territoriales), CAC et rectorat : </w:t>
      </w:r>
      <w:hyperlink r:id="rId9" w:history="1">
        <w:r w:rsidR="0006673F" w:rsidRPr="001C0021">
          <w:rPr>
            <w:rStyle w:val="Lienhypertexte"/>
          </w:rPr>
          <w:t>https://sylvainbory.netboard.me/groupecrsteilav/?tab=414216#</w:t>
        </w:r>
      </w:hyperlink>
      <w:r w:rsidR="0006673F">
        <w:t xml:space="preserve"> </w:t>
      </w:r>
    </w:p>
    <w:p w:rsidR="0005429F" w:rsidRDefault="0005429F" w:rsidP="00F35A66">
      <w:pPr>
        <w:spacing w:after="0"/>
        <w:jc w:val="both"/>
      </w:pPr>
      <w:r>
        <w:t>A retenir :</w:t>
      </w:r>
    </w:p>
    <w:p w:rsidR="0005429F" w:rsidRDefault="0005429F" w:rsidP="00F35A66">
      <w:pPr>
        <w:spacing w:after="0"/>
        <w:jc w:val="both"/>
      </w:pPr>
      <w:r>
        <w:t>- une belle dynamique globale si l’on croise l’ensemble des appels à projets notamment dans les arts visuels et la dimension art contemporain.</w:t>
      </w:r>
    </w:p>
    <w:p w:rsidR="0005429F" w:rsidRDefault="0005429F" w:rsidP="00F35A66">
      <w:pPr>
        <w:spacing w:after="0"/>
        <w:jc w:val="both"/>
      </w:pPr>
      <w:r>
        <w:t>- des dispositifs et des actions phare menées par certaines institutions, notamment muséales (programmes Région</w:t>
      </w:r>
      <w:r w:rsidR="009600DF">
        <w:t xml:space="preserve"> par exemple</w:t>
      </w:r>
      <w:r>
        <w:t>)</w:t>
      </w:r>
    </w:p>
    <w:p w:rsidR="0005429F" w:rsidRDefault="0005429F" w:rsidP="00F35A66">
      <w:pPr>
        <w:spacing w:after="0"/>
        <w:jc w:val="both"/>
      </w:pPr>
      <w:r>
        <w:t>- Peu de résidences territoriales portées par une structure culturelle (comme le CPIF) et une possibilité d’engager une résidence triennale dans le 94 autour des arts numériques et visuels, du jeu vidéo, à construire.</w:t>
      </w:r>
    </w:p>
    <w:p w:rsidR="0005429F" w:rsidRDefault="0005429F" w:rsidP="00F35A66">
      <w:pPr>
        <w:spacing w:after="0"/>
        <w:jc w:val="both"/>
      </w:pPr>
      <w:r w:rsidRPr="007D239D">
        <w:rPr>
          <w:b/>
        </w:rPr>
        <w:t>- AAP rectorat</w:t>
      </w:r>
      <w:r>
        <w:t xml:space="preserve"> : résultats en ligne sur Adage depuis le 2 octobre, notifications aux établissements du second degré d’ici les vacances. </w:t>
      </w:r>
      <w:r w:rsidR="007D239D">
        <w:t>Revenir vers les équipes ou vers moi pour connaître vos résultats par structure.</w:t>
      </w:r>
    </w:p>
    <w:p w:rsidR="0005429F" w:rsidRDefault="0005429F" w:rsidP="00F35A66">
      <w:pPr>
        <w:spacing w:after="0"/>
        <w:jc w:val="both"/>
      </w:pPr>
      <w:r>
        <w:t xml:space="preserve">. </w:t>
      </w:r>
      <w:r w:rsidRPr="0005429F">
        <w:t xml:space="preserve">Clôture de la campagne le 12 septembre </w:t>
      </w:r>
      <w:r>
        <w:t xml:space="preserve">(2nd degré) : 657 projets </w:t>
      </w:r>
      <w:r w:rsidRPr="0005429F">
        <w:t>dépos</w:t>
      </w:r>
      <w:r>
        <w:t xml:space="preserve">és par 272 </w:t>
      </w:r>
      <w:r w:rsidRPr="0005429F">
        <w:t>établissemen</w:t>
      </w:r>
      <w:r w:rsidR="007D239D">
        <w:t xml:space="preserve">ts pour 25 000 </w:t>
      </w:r>
      <w:r>
        <w:t>élèves</w:t>
      </w:r>
      <w:r w:rsidR="00B57FAE">
        <w:t>.</w:t>
      </w:r>
    </w:p>
    <w:p w:rsidR="0005429F" w:rsidRDefault="0005429F" w:rsidP="00F35A66">
      <w:pPr>
        <w:spacing w:after="0"/>
        <w:jc w:val="both"/>
      </w:pPr>
      <w:r>
        <w:t xml:space="preserve">. </w:t>
      </w:r>
      <w:r w:rsidRPr="0005429F">
        <w:t>Clôture de campagne le 15 septembre (1er degré) : 117 projets dans 103 établissements pour 9000 élèves (il s'agit du premier appel à proje</w:t>
      </w:r>
      <w:r>
        <w:t>ts académique pour les écoles).</w:t>
      </w:r>
    </w:p>
    <w:p w:rsidR="0005429F" w:rsidRDefault="0005429F" w:rsidP="00F35A66">
      <w:pPr>
        <w:spacing w:after="0"/>
        <w:jc w:val="both"/>
      </w:pPr>
      <w:r>
        <w:t xml:space="preserve">. </w:t>
      </w:r>
      <w:r w:rsidRPr="0005429F">
        <w:t>Commissions</w:t>
      </w:r>
      <w:r w:rsidR="00B57FAE">
        <w:t xml:space="preserve"> délibératives</w:t>
      </w:r>
      <w:r w:rsidRPr="0005429F">
        <w:t xml:space="preserve"> les 24, 2</w:t>
      </w:r>
      <w:r>
        <w:t>5, 26 septembre 2025.</w:t>
      </w:r>
    </w:p>
    <w:p w:rsidR="0005429F" w:rsidRDefault="0005429F" w:rsidP="00F35A66">
      <w:pPr>
        <w:spacing w:after="0"/>
        <w:jc w:val="both"/>
      </w:pPr>
      <w:r>
        <w:t xml:space="preserve">. </w:t>
      </w:r>
      <w:r w:rsidRPr="0005429F">
        <w:t xml:space="preserve">1er degré : 54 avis favorables dans 51 établissements touchant près de 4200 élèves (19 projets dans le 77, </w:t>
      </w:r>
      <w:r>
        <w:t>25 dans le 93, 10 dans le 94).</w:t>
      </w:r>
    </w:p>
    <w:p w:rsidR="0005429F" w:rsidRDefault="0005429F" w:rsidP="00F35A66">
      <w:pPr>
        <w:spacing w:after="0"/>
        <w:jc w:val="both"/>
      </w:pPr>
      <w:r>
        <w:t>. 2nd degré : 543</w:t>
      </w:r>
      <w:r w:rsidRPr="0005429F">
        <w:t xml:space="preserve"> avis favorables avec ou sans cofinanceme</w:t>
      </w:r>
      <w:r>
        <w:t xml:space="preserve">nt selon les demandes dans 238 </w:t>
      </w:r>
      <w:r w:rsidRPr="0005429F">
        <w:t>établissements</w:t>
      </w:r>
      <w:r>
        <w:t xml:space="preserve"> touchant près de 17200 élèves (en légère baisse).</w:t>
      </w:r>
    </w:p>
    <w:p w:rsidR="0005429F" w:rsidRDefault="0005429F" w:rsidP="00F35A66">
      <w:pPr>
        <w:spacing w:after="0"/>
        <w:jc w:val="both"/>
      </w:pPr>
      <w:r>
        <w:t xml:space="preserve">. Par département : 147 projets dans 75 </w:t>
      </w:r>
      <w:r w:rsidRPr="0005429F">
        <w:t>établ</w:t>
      </w:r>
      <w:r w:rsidR="0006673F">
        <w:t>issements (Seine-et-Marne)</w:t>
      </w:r>
      <w:r>
        <w:t>, 239 projets dans 101 établi</w:t>
      </w:r>
      <w:r w:rsidR="0006673F">
        <w:t>ssements (</w:t>
      </w:r>
      <w:proofErr w:type="spellStart"/>
      <w:r w:rsidR="0006673F">
        <w:t>Seine-saint-Denis</w:t>
      </w:r>
      <w:proofErr w:type="spellEnd"/>
      <w:r>
        <w:t xml:space="preserve">), 271 projets dans 96 </w:t>
      </w:r>
      <w:r w:rsidRPr="0005429F">
        <w:t>établisseme</w:t>
      </w:r>
      <w:r w:rsidR="0006673F">
        <w:t>nts (Val-de-Marne</w:t>
      </w:r>
      <w:r>
        <w:t>)</w:t>
      </w:r>
      <w:r w:rsidR="0006673F">
        <w:t>.</w:t>
      </w:r>
    </w:p>
    <w:p w:rsidR="0005429F" w:rsidRDefault="0005429F" w:rsidP="00F35A66">
      <w:pPr>
        <w:spacing w:after="0"/>
        <w:jc w:val="both"/>
      </w:pPr>
      <w:r>
        <w:t>. Par type d'établissement : 326 projets dans 165</w:t>
      </w:r>
      <w:r w:rsidR="00B57FAE">
        <w:t xml:space="preserve"> collèges, 315 projets dans 99 </w:t>
      </w:r>
      <w:r w:rsidRPr="0005429F">
        <w:t>LGT/LPO</w:t>
      </w:r>
      <w:r w:rsidR="007D239D">
        <w:t>, 16 projets dans 8 LP</w:t>
      </w:r>
      <w:r w:rsidRPr="0005429F">
        <w:t>.</w:t>
      </w:r>
    </w:p>
    <w:p w:rsidR="0006673F" w:rsidRDefault="0006673F" w:rsidP="00F35A66">
      <w:pPr>
        <w:spacing w:after="0"/>
        <w:jc w:val="both"/>
      </w:pPr>
      <w:r>
        <w:t>. Arts visuels : 80 projets validés sur 107 déposés dans 80 établissements.</w:t>
      </w:r>
    </w:p>
    <w:p w:rsidR="0006673F" w:rsidRPr="0006673F" w:rsidRDefault="0006673F" w:rsidP="0006673F">
      <w:pPr>
        <w:spacing w:after="0"/>
        <w:jc w:val="both"/>
      </w:pPr>
      <w:r w:rsidRPr="0006673F">
        <w:rPr>
          <w:bCs/>
        </w:rPr>
        <w:t xml:space="preserve">BILAN : nombre de projets en légère hausse (mais dans les projets "arts visuels" il y a les projets graff de cultures urbaines et quelques projets </w:t>
      </w:r>
      <w:proofErr w:type="spellStart"/>
      <w:r w:rsidRPr="0006673F">
        <w:rPr>
          <w:bCs/>
        </w:rPr>
        <w:t>Spoart</w:t>
      </w:r>
      <w:proofErr w:type="spellEnd"/>
      <w:r w:rsidR="00B57FAE">
        <w:rPr>
          <w:bCs/>
        </w:rPr>
        <w:t xml:space="preserve"> de ma collègue Lucie </w:t>
      </w:r>
      <w:proofErr w:type="spellStart"/>
      <w:r w:rsidR="00B57FAE">
        <w:rPr>
          <w:bCs/>
        </w:rPr>
        <w:t>Sertillange</w:t>
      </w:r>
      <w:proofErr w:type="spellEnd"/>
      <w:r w:rsidRPr="0006673F">
        <w:rPr>
          <w:bCs/>
        </w:rPr>
        <w:t>), augmentation du nombre de projets invalidés, baisse de la demande dans le 77, relatif équilibre entre le 93 et le 94, relatif équilibre entre types d'établissements. Essentiellement des classes à PAC.</w:t>
      </w:r>
    </w:p>
    <w:p w:rsidR="0006673F" w:rsidRPr="0006673F" w:rsidRDefault="0006673F" w:rsidP="0006673F">
      <w:pPr>
        <w:spacing w:after="0"/>
        <w:jc w:val="both"/>
      </w:pPr>
      <w:r w:rsidRPr="0006673F">
        <w:rPr>
          <w:u w:val="single"/>
        </w:rPr>
        <w:t>Pistes pour 26-27</w:t>
      </w:r>
      <w:r w:rsidRPr="0006673F">
        <w:t xml:space="preserve"> : le 77, le niveau collège, l'inter-degrés, les ateliers artistiques.</w:t>
      </w:r>
    </w:p>
    <w:p w:rsidR="0006673F" w:rsidRDefault="0006673F" w:rsidP="00F35A66">
      <w:pPr>
        <w:spacing w:after="0"/>
        <w:jc w:val="both"/>
      </w:pPr>
      <w:r>
        <w:t>. Photographie : 16 projets validés sur 19 déposés dans 16 établissements.</w:t>
      </w:r>
    </w:p>
    <w:p w:rsidR="0006673F" w:rsidRDefault="0006673F" w:rsidP="0006673F">
      <w:pPr>
        <w:spacing w:after="0"/>
        <w:jc w:val="both"/>
        <w:rPr>
          <w:bCs/>
        </w:rPr>
      </w:pPr>
      <w:r w:rsidRPr="0006673F">
        <w:rPr>
          <w:bCs/>
        </w:rPr>
        <w:t>BILAN : Nombre stable (mais faible) de projets au regard du domaine, prédominance de projets dans le 93 et dans le 94 en lycée, classes à PAC et PIE essentiellement. Tout à réinventer au niveau collège.</w:t>
      </w:r>
    </w:p>
    <w:p w:rsidR="0006673F" w:rsidRPr="0006673F" w:rsidRDefault="0006673F" w:rsidP="0006673F">
      <w:pPr>
        <w:spacing w:after="0"/>
        <w:jc w:val="both"/>
      </w:pPr>
      <w:r w:rsidRPr="0006673F">
        <w:rPr>
          <w:i/>
          <w:iCs/>
        </w:rPr>
        <w:t>NB : dispositif Photographie à l'école (12 classes) avec le Lavoir, hors AAP,</w:t>
      </w:r>
      <w:r w:rsidR="00B57FAE">
        <w:rPr>
          <w:i/>
          <w:iCs/>
        </w:rPr>
        <w:t xml:space="preserve"> classes inscrites à </w:t>
      </w:r>
      <w:proofErr w:type="spellStart"/>
      <w:proofErr w:type="gramStart"/>
      <w:r w:rsidR="00B57FAE">
        <w:rPr>
          <w:i/>
          <w:iCs/>
        </w:rPr>
        <w:t>PhotoFocus</w:t>
      </w:r>
      <w:proofErr w:type="spellEnd"/>
      <w:r w:rsidR="00B57FAE">
        <w:rPr>
          <w:i/>
          <w:iCs/>
        </w:rPr>
        <w:t>,</w:t>
      </w:r>
      <w:r w:rsidRPr="0006673F">
        <w:rPr>
          <w:i/>
          <w:iCs/>
        </w:rPr>
        <w:t>...</w:t>
      </w:r>
      <w:proofErr w:type="gramEnd"/>
    </w:p>
    <w:p w:rsidR="0006673F" w:rsidRPr="0006673F" w:rsidRDefault="0006673F" w:rsidP="0006673F">
      <w:pPr>
        <w:spacing w:after="0"/>
        <w:jc w:val="both"/>
      </w:pPr>
      <w:r w:rsidRPr="0006673F">
        <w:rPr>
          <w:u w:val="single"/>
        </w:rPr>
        <w:t>Pistes pour 26-27</w:t>
      </w:r>
      <w:r w:rsidRPr="0006673F">
        <w:t xml:space="preserve"> : projet en collège, lien avec </w:t>
      </w:r>
      <w:proofErr w:type="spellStart"/>
      <w:r w:rsidRPr="0006673F">
        <w:t>PhotoFocus</w:t>
      </w:r>
      <w:proofErr w:type="spellEnd"/>
      <w:r w:rsidRPr="0006673F">
        <w:t xml:space="preserve">, </w:t>
      </w:r>
      <w:r>
        <w:t>initiative du Louvre « photographier le Louvre »</w:t>
      </w:r>
      <w:r w:rsidR="00B57FAE">
        <w:t xml:space="preserve"> à initier</w:t>
      </w:r>
      <w:r>
        <w:t xml:space="preserve">, </w:t>
      </w:r>
      <w:r w:rsidR="00B57FAE">
        <w:t xml:space="preserve">atelier artistique, </w:t>
      </w:r>
      <w:proofErr w:type="spellStart"/>
      <w:r w:rsidR="00B57FAE">
        <w:t>perpsective</w:t>
      </w:r>
      <w:proofErr w:type="spellEnd"/>
      <w:r w:rsidR="00B57FAE">
        <w:t xml:space="preserve"> du bicentenaire de la photo (projets, moyens alloués ?)</w:t>
      </w:r>
    </w:p>
    <w:p w:rsidR="0006673F" w:rsidRDefault="0006673F" w:rsidP="00F35A66">
      <w:pPr>
        <w:spacing w:after="0"/>
        <w:jc w:val="both"/>
      </w:pPr>
      <w:r>
        <w:t>. Design : 18 projets validés sur 23 déposés dans 18 établissements.</w:t>
      </w:r>
    </w:p>
    <w:p w:rsidR="0006673F" w:rsidRPr="0006673F" w:rsidRDefault="0006673F" w:rsidP="0006673F">
      <w:pPr>
        <w:spacing w:after="0"/>
        <w:jc w:val="both"/>
      </w:pPr>
      <w:r w:rsidRPr="0006673F">
        <w:rPr>
          <w:bCs/>
        </w:rPr>
        <w:t>BILAN : Nombre stable de projets, essentiellement dans le 93 et en lycée, concentration sur quelques lycées, classes à PAC. Tout à inventer dans le 77.</w:t>
      </w:r>
    </w:p>
    <w:p w:rsidR="0006673F" w:rsidRPr="0006673F" w:rsidRDefault="0006673F" w:rsidP="0006673F">
      <w:pPr>
        <w:spacing w:after="0"/>
        <w:jc w:val="both"/>
      </w:pPr>
      <w:r w:rsidRPr="0006673F">
        <w:rPr>
          <w:i/>
          <w:iCs/>
        </w:rPr>
        <w:t>NB : une vingtaine de classes de collèges sont inscrits au dispositif ADMA c</w:t>
      </w:r>
      <w:r w:rsidR="00B57FAE">
        <w:rPr>
          <w:i/>
          <w:iCs/>
        </w:rPr>
        <w:t xml:space="preserve">haque année (métiers </w:t>
      </w:r>
      <w:proofErr w:type="gramStart"/>
      <w:r w:rsidR="00B57FAE">
        <w:rPr>
          <w:i/>
          <w:iCs/>
        </w:rPr>
        <w:t>d'art)</w:t>
      </w:r>
      <w:r w:rsidRPr="0006673F">
        <w:rPr>
          <w:i/>
          <w:iCs/>
        </w:rPr>
        <w:t>-</w:t>
      </w:r>
      <w:proofErr w:type="gramEnd"/>
      <w:r w:rsidRPr="0006673F">
        <w:rPr>
          <w:i/>
          <w:iCs/>
        </w:rPr>
        <w:t xml:space="preserve"> sélection le 14.10.25 + des dispositifs comme </w:t>
      </w:r>
      <w:proofErr w:type="spellStart"/>
      <w:r w:rsidRPr="0006673F">
        <w:rPr>
          <w:i/>
          <w:iCs/>
        </w:rPr>
        <w:t>Manufacto</w:t>
      </w:r>
      <w:proofErr w:type="spellEnd"/>
      <w:r w:rsidRPr="0006673F">
        <w:rPr>
          <w:i/>
          <w:iCs/>
        </w:rPr>
        <w:t xml:space="preserve"> (fondation Hermès),</w:t>
      </w:r>
      <w:r w:rsidR="00B57FAE">
        <w:rPr>
          <w:i/>
          <w:iCs/>
        </w:rPr>
        <w:t xml:space="preserve"> les métiers d’art et du Louvre, les visites ateliers du 19M,.</w:t>
      </w:r>
      <w:r w:rsidRPr="0006673F">
        <w:rPr>
          <w:i/>
          <w:iCs/>
        </w:rPr>
        <w:t>...</w:t>
      </w:r>
    </w:p>
    <w:p w:rsidR="00B57FAE" w:rsidRDefault="0006673F" w:rsidP="00F35A66">
      <w:pPr>
        <w:spacing w:after="0"/>
        <w:jc w:val="both"/>
      </w:pPr>
      <w:r w:rsidRPr="0006673F">
        <w:rPr>
          <w:u w:val="single"/>
        </w:rPr>
        <w:t>Pistes pour 26-27</w:t>
      </w:r>
      <w:r w:rsidRPr="0006673F">
        <w:t xml:space="preserve"> : collège, inter-degrés avec la voie pro, corrélation avec les dispositifs existants, classes "métiers d'art"</w:t>
      </w:r>
      <w:r>
        <w:t>.</w:t>
      </w:r>
    </w:p>
    <w:p w:rsidR="00C41AAE" w:rsidRPr="00B57FAE" w:rsidRDefault="00C41AAE" w:rsidP="00F35A66">
      <w:pPr>
        <w:spacing w:after="0"/>
        <w:jc w:val="both"/>
      </w:pPr>
      <w:r w:rsidRPr="007D239D">
        <w:rPr>
          <w:b/>
        </w:rPr>
        <w:lastRenderedPageBreak/>
        <w:t xml:space="preserve">4. La formation </w:t>
      </w:r>
      <w:r w:rsidR="00B57FAE">
        <w:rPr>
          <w:b/>
        </w:rPr>
        <w:t>continue</w:t>
      </w:r>
    </w:p>
    <w:p w:rsidR="00C41AAE" w:rsidRPr="0006673F" w:rsidRDefault="00C41AAE" w:rsidP="00F35A66">
      <w:pPr>
        <w:spacing w:after="0"/>
        <w:jc w:val="both"/>
        <w:rPr>
          <w:b/>
        </w:rPr>
      </w:pPr>
      <w:r w:rsidRPr="0006673F">
        <w:rPr>
          <w:b/>
        </w:rPr>
        <w:t>- Bilan 24-25</w:t>
      </w:r>
    </w:p>
    <w:p w:rsidR="007D239D" w:rsidRDefault="007D239D" w:rsidP="00F35A66">
      <w:pPr>
        <w:spacing w:after="0"/>
        <w:jc w:val="both"/>
      </w:pPr>
      <w:r>
        <w:t xml:space="preserve">. Retour globalement </w:t>
      </w:r>
      <w:r w:rsidR="00B57FAE">
        <w:t xml:space="preserve">très </w:t>
      </w:r>
      <w:r>
        <w:t>positif sur les propositions de l’an passé.</w:t>
      </w:r>
    </w:p>
    <w:p w:rsidR="007D239D" w:rsidRDefault="007D239D" w:rsidP="00F35A66">
      <w:pPr>
        <w:spacing w:after="0"/>
        <w:jc w:val="both"/>
      </w:pPr>
      <w:r>
        <w:t>. Peu de bilans (en moyen 1/3 des enseignants formés)</w:t>
      </w:r>
    </w:p>
    <w:p w:rsidR="007D239D" w:rsidRDefault="007D239D" w:rsidP="00F35A66">
      <w:pPr>
        <w:spacing w:after="0"/>
        <w:jc w:val="both"/>
      </w:pPr>
      <w:r>
        <w:t>. Intérêts principaux : découverte de nouveaux lieux culturels, richesse des rencontres artistiques et professionnelles, qualité des visites, accessibilité des ressources, projection vers des projets ou des réinv</w:t>
      </w:r>
      <w:r w:rsidR="00282581">
        <w:t>estissements en classe, plaisir souvent souligné pour l’atelier de pratique.</w:t>
      </w:r>
    </w:p>
    <w:p w:rsidR="00282581" w:rsidRPr="00282581" w:rsidRDefault="00282581" w:rsidP="00F35A66">
      <w:pPr>
        <w:spacing w:after="0"/>
        <w:jc w:val="both"/>
        <w:rPr>
          <w:i/>
          <w:iCs/>
        </w:rPr>
      </w:pPr>
      <w:r>
        <w:t xml:space="preserve">. Une citation collector (anonyme) : </w:t>
      </w:r>
      <w:r w:rsidRPr="00282581">
        <w:t>"</w:t>
      </w:r>
      <w:r w:rsidRPr="00282581">
        <w:rPr>
          <w:i/>
          <w:iCs/>
        </w:rPr>
        <w:t>Les formations EAC c’est comme les sciences fondamentales : au départ on n’imagine pa</w:t>
      </w:r>
      <w:r>
        <w:rPr>
          <w:i/>
          <w:iCs/>
        </w:rPr>
        <w:t xml:space="preserve">s l’usage et au final ça change </w:t>
      </w:r>
      <w:r w:rsidRPr="00282581">
        <w:rPr>
          <w:i/>
          <w:iCs/>
        </w:rPr>
        <w:t>tout à sa façon de vivre (et ici d’enseigner)</w:t>
      </w:r>
      <w:r w:rsidRPr="00282581">
        <w:t>"</w:t>
      </w:r>
      <w:r>
        <w:t>.</w:t>
      </w:r>
    </w:p>
    <w:p w:rsidR="00282581" w:rsidRPr="00C41AAE" w:rsidRDefault="00282581" w:rsidP="00F35A66">
      <w:pPr>
        <w:spacing w:after="0"/>
        <w:jc w:val="both"/>
      </w:pPr>
    </w:p>
    <w:p w:rsidR="00C41AAE" w:rsidRPr="0006673F" w:rsidRDefault="00C41AAE" w:rsidP="00F35A66">
      <w:pPr>
        <w:spacing w:after="0"/>
        <w:jc w:val="both"/>
        <w:rPr>
          <w:b/>
        </w:rPr>
      </w:pPr>
      <w:r w:rsidRPr="0006673F">
        <w:rPr>
          <w:b/>
        </w:rPr>
        <w:t>- Cadre général 26-27 (situation des formations EAC, groupe de travail formation EAC)</w:t>
      </w:r>
    </w:p>
    <w:p w:rsidR="007D239D" w:rsidRDefault="007D239D" w:rsidP="00F35A66">
      <w:pPr>
        <w:spacing w:after="0"/>
        <w:jc w:val="both"/>
      </w:pPr>
      <w:r>
        <w:t>. 1</w:t>
      </w:r>
      <w:r w:rsidRPr="007D239D">
        <w:rPr>
          <w:vertAlign w:val="superscript"/>
        </w:rPr>
        <w:t>ère</w:t>
      </w:r>
      <w:r>
        <w:t xml:space="preserve"> réunion du groupe de travail le 14 octobre : réfléchir autour des formations EAC (formats, contenus, publics, ouverture).</w:t>
      </w:r>
    </w:p>
    <w:p w:rsidR="00B57FAE" w:rsidRDefault="00B57FAE" w:rsidP="00F35A66">
      <w:pPr>
        <w:spacing w:after="0"/>
        <w:jc w:val="both"/>
      </w:pPr>
      <w:r>
        <w:t>. Une réflexion globale pour savoir comment toucher de nouveaux publics, comment former plus.</w:t>
      </w:r>
    </w:p>
    <w:p w:rsidR="00282581" w:rsidRPr="00C41AAE" w:rsidRDefault="00282581" w:rsidP="00F35A66">
      <w:pPr>
        <w:spacing w:after="0"/>
        <w:jc w:val="both"/>
      </w:pPr>
      <w:r>
        <w:t xml:space="preserve">. Situation du chapitre EAC : 75% de propositions maintenues et 80% du volume horaire globale (contraintes budgétaires), formats essentiellement sur 12h et en présentiel, calendrier plus souple. </w:t>
      </w:r>
    </w:p>
    <w:p w:rsidR="007D239D" w:rsidRDefault="007D239D" w:rsidP="00F35A66">
      <w:pPr>
        <w:spacing w:after="0"/>
        <w:jc w:val="both"/>
      </w:pPr>
    </w:p>
    <w:p w:rsidR="00C41AAE" w:rsidRPr="0006673F" w:rsidRDefault="00C41AAE" w:rsidP="00F35A66">
      <w:pPr>
        <w:spacing w:after="0"/>
        <w:jc w:val="both"/>
        <w:rPr>
          <w:b/>
        </w:rPr>
      </w:pPr>
      <w:r w:rsidRPr="0006673F">
        <w:rPr>
          <w:b/>
        </w:rPr>
        <w:t>- Calendrier, partenariat des différentes propositions dans nos domaines</w:t>
      </w:r>
    </w:p>
    <w:p w:rsidR="007D239D" w:rsidRDefault="007D239D" w:rsidP="00F35A66">
      <w:pPr>
        <w:spacing w:after="0"/>
        <w:jc w:val="both"/>
      </w:pPr>
      <w:r>
        <w:t xml:space="preserve">. Voir l’onglet afférent du </w:t>
      </w:r>
      <w:proofErr w:type="spellStart"/>
      <w:r>
        <w:t>netboard</w:t>
      </w:r>
      <w:proofErr w:type="spellEnd"/>
      <w:r>
        <w:t xml:space="preserve"> : </w:t>
      </w:r>
      <w:hyperlink r:id="rId10" w:history="1">
        <w:r w:rsidRPr="001C0021">
          <w:rPr>
            <w:rStyle w:val="Lienhypertexte"/>
          </w:rPr>
          <w:t>https://sylvainbory.netboard.me/groupecrsteilav/?tab=414215</w:t>
        </w:r>
      </w:hyperlink>
      <w:r>
        <w:t xml:space="preserve"> </w:t>
      </w:r>
    </w:p>
    <w:p w:rsidR="00B57FAE" w:rsidRDefault="00B57FAE" w:rsidP="00F35A66">
      <w:pPr>
        <w:spacing w:after="0"/>
        <w:jc w:val="both"/>
      </w:pPr>
      <w:r>
        <w:t xml:space="preserve">. Toutes les formations sont ouvertes à la pré-inscriptions depuis le 15 septembre, certaines avec une campagne (très) courte. </w:t>
      </w:r>
    </w:p>
    <w:p w:rsidR="007D239D" w:rsidRDefault="007D239D" w:rsidP="00F35A66">
      <w:pPr>
        <w:spacing w:after="0"/>
        <w:jc w:val="both"/>
      </w:pPr>
      <w:r>
        <w:t>. Pour nourrir les plateformes de ressources de chaque pôle de formations (art contemporain, musées, design, photographie), chaque structure peut m’envoyer liens et documents utiles ou faire une proposition de prolongement en fonction du domaine, du stage, de la thématique annuelle.</w:t>
      </w:r>
    </w:p>
    <w:p w:rsidR="007D239D" w:rsidRDefault="007D239D" w:rsidP="00F35A66">
      <w:pPr>
        <w:spacing w:after="0"/>
        <w:jc w:val="both"/>
      </w:pPr>
      <w:r>
        <w:t>. Première formation : séminaire du Bal (20-21 octobre).</w:t>
      </w:r>
    </w:p>
    <w:p w:rsidR="007D239D" w:rsidRDefault="007D239D" w:rsidP="00F35A66">
      <w:pPr>
        <w:spacing w:after="0"/>
        <w:jc w:val="both"/>
      </w:pPr>
      <w:r>
        <w:t>. Un stage encore incomplet (12-13 février, thématique du corps avec la danse et le cirque).</w:t>
      </w:r>
    </w:p>
    <w:p w:rsidR="007D239D" w:rsidRPr="00C41AAE" w:rsidRDefault="007D239D" w:rsidP="00F35A66">
      <w:pPr>
        <w:spacing w:after="0"/>
        <w:jc w:val="both"/>
      </w:pPr>
      <w:r>
        <w:t>. Devis éventuel avant l’envoi des convocations 4 semaines avant le début du stage et ce, pour l’ensemble du stage.</w:t>
      </w:r>
    </w:p>
    <w:p w:rsidR="00C41AAE" w:rsidRPr="00C41AAE" w:rsidRDefault="00C41AAE" w:rsidP="00F35A66">
      <w:pPr>
        <w:spacing w:after="0"/>
        <w:jc w:val="both"/>
      </w:pPr>
    </w:p>
    <w:p w:rsidR="00C41AAE" w:rsidRPr="00282581" w:rsidRDefault="00C41AAE" w:rsidP="00F35A66">
      <w:pPr>
        <w:spacing w:after="0"/>
        <w:jc w:val="both"/>
        <w:rPr>
          <w:b/>
        </w:rPr>
      </w:pPr>
      <w:r w:rsidRPr="00282581">
        <w:rPr>
          <w:b/>
        </w:rPr>
        <w:t>5. Perspectives 26-27 du groupe de réflexion</w:t>
      </w:r>
    </w:p>
    <w:p w:rsidR="0006673F" w:rsidRDefault="00C41AAE" w:rsidP="00F35A66">
      <w:pPr>
        <w:spacing w:after="0"/>
        <w:jc w:val="both"/>
      </w:pPr>
      <w:r w:rsidRPr="00C41AAE">
        <w:t xml:space="preserve">- </w:t>
      </w:r>
      <w:r w:rsidRPr="0006673F">
        <w:rPr>
          <w:i/>
        </w:rPr>
        <w:t>Calendrier des deux prochaines réunions plénières</w:t>
      </w:r>
      <w:r w:rsidR="0006673F">
        <w:t xml:space="preserve"> : </w:t>
      </w:r>
    </w:p>
    <w:p w:rsidR="0006673F" w:rsidRDefault="00B57FAE" w:rsidP="00F35A66">
      <w:pPr>
        <w:spacing w:after="0"/>
        <w:jc w:val="both"/>
      </w:pPr>
      <w:r>
        <w:t>. M</w:t>
      </w:r>
      <w:r w:rsidR="0006673F">
        <w:t>ardi 13, 20 ou 27 janvier 26</w:t>
      </w:r>
    </w:p>
    <w:p w:rsidR="00282581" w:rsidRDefault="00B57FAE" w:rsidP="00F35A66">
      <w:pPr>
        <w:spacing w:after="0"/>
        <w:jc w:val="both"/>
      </w:pPr>
      <w:r>
        <w:t>. J</w:t>
      </w:r>
      <w:r w:rsidR="0006673F">
        <w:t>eudi 28 mai, 4 ou 11 juin 26</w:t>
      </w:r>
      <w:r w:rsidR="00C41AAE" w:rsidRPr="00C41AAE">
        <w:t xml:space="preserve"> </w:t>
      </w:r>
    </w:p>
    <w:p w:rsidR="00C41AAE" w:rsidRDefault="0006673F" w:rsidP="00F35A66">
      <w:pPr>
        <w:spacing w:after="0"/>
        <w:jc w:val="both"/>
      </w:pPr>
      <w:r>
        <w:t xml:space="preserve">- </w:t>
      </w:r>
      <w:r w:rsidR="00282581">
        <w:t>P</w:t>
      </w:r>
      <w:r w:rsidR="00C41AAE" w:rsidRPr="00C41AAE">
        <w:t>oints spécifiques éventuels (a</w:t>
      </w:r>
      <w:r>
        <w:t>rt contemporain, photographie, design et métiers d'art</w:t>
      </w:r>
      <w:r w:rsidR="00C41AAE" w:rsidRPr="00C41AAE">
        <w:t>)</w:t>
      </w:r>
      <w:r w:rsidR="00B57FAE">
        <w:t xml:space="preserve"> à prévoir (en plus petit comité)</w:t>
      </w:r>
      <w:r w:rsidR="00282581">
        <w:t> :</w:t>
      </w:r>
    </w:p>
    <w:p w:rsidR="00282581" w:rsidRDefault="00282581" w:rsidP="00F35A66">
      <w:pPr>
        <w:spacing w:after="0"/>
        <w:jc w:val="both"/>
      </w:pPr>
      <w:r>
        <w:t xml:space="preserve">. Pistes autour du financement des projets, des métiers d’art, du </w:t>
      </w:r>
      <w:r w:rsidR="0006673F">
        <w:t>bicentenaire de la photographie.</w:t>
      </w:r>
      <w:r>
        <w:t xml:space="preserve"> </w:t>
      </w:r>
    </w:p>
    <w:p w:rsidR="00C41AAE" w:rsidRPr="00C41AAE" w:rsidRDefault="00282581" w:rsidP="00F35A66">
      <w:pPr>
        <w:spacing w:after="0"/>
        <w:jc w:val="both"/>
      </w:pPr>
      <w:r>
        <w:t xml:space="preserve">. </w:t>
      </w:r>
      <w:r w:rsidR="00C41AAE" w:rsidRPr="00C41AAE">
        <w:t xml:space="preserve">Thématique annuelle de la prochaine réunion </w:t>
      </w:r>
      <w:r w:rsidR="00B57FAE">
        <w:t xml:space="preserve">en plénière </w:t>
      </w:r>
      <w:r w:rsidR="00C41AAE" w:rsidRPr="00C41AAE">
        <w:t>à débattre</w:t>
      </w:r>
      <w:r w:rsidR="00B57FAE">
        <w:t xml:space="preserve"> (janvier 26)</w:t>
      </w:r>
      <w:r w:rsidR="00C41AAE" w:rsidRPr="00C41AAE">
        <w:t xml:space="preserve"> : EAC et métiers, EAC et inclusion, EAC et EVARS (éducation à la vie affective, relationnelle et sexuelle).</w:t>
      </w:r>
      <w:r>
        <w:t xml:space="preserve"> Merci de me faire un retour sur vos préférences.</w:t>
      </w:r>
    </w:p>
    <w:p w:rsidR="00C41AAE" w:rsidRPr="00C41AAE" w:rsidRDefault="00C41AAE" w:rsidP="00F35A66">
      <w:pPr>
        <w:spacing w:after="0"/>
        <w:jc w:val="both"/>
      </w:pPr>
    </w:p>
    <w:p w:rsidR="00C41AAE" w:rsidRPr="00C41AAE" w:rsidRDefault="00C41AAE" w:rsidP="00F35A66">
      <w:pPr>
        <w:spacing w:after="0"/>
        <w:jc w:val="both"/>
      </w:pPr>
      <w:r w:rsidRPr="00C41AAE">
        <w:t>Visite de l'exposition "</w:t>
      </w:r>
      <w:proofErr w:type="spellStart"/>
      <w:r w:rsidRPr="00C41AAE">
        <w:t>Sorry</w:t>
      </w:r>
      <w:proofErr w:type="spellEnd"/>
      <w:r w:rsidRPr="00C41AAE">
        <w:t xml:space="preserve"> Sun" : </w:t>
      </w:r>
      <w:hyperlink r:id="rId11" w:tgtFrame="_blank" w:history="1">
        <w:r w:rsidRPr="00C41AAE">
          <w:rPr>
            <w:rStyle w:val="Lienhypertexte"/>
          </w:rPr>
          <w:t>https://www.fondation-pernod-ricard.com/fr/expo/sorry-sun</w:t>
        </w:r>
      </w:hyperlink>
    </w:p>
    <w:p w:rsidR="001B23C3" w:rsidRDefault="00F1188C" w:rsidP="00F35A66">
      <w:pPr>
        <w:spacing w:after="0"/>
        <w:jc w:val="both"/>
      </w:pPr>
    </w:p>
    <w:p w:rsidR="0006673F" w:rsidRDefault="0006673F" w:rsidP="00F35A66">
      <w:pPr>
        <w:spacing w:after="0"/>
        <w:jc w:val="both"/>
      </w:pPr>
      <w:r w:rsidRPr="0006673F">
        <w:t>Merci Alice pour l’accueil à la fondation Pernod-Ricard, merci pour votre implication à toutes et tous</w:t>
      </w:r>
      <w:r>
        <w:t xml:space="preserve"> en ce début de nouvelle année scolaire.</w:t>
      </w:r>
    </w:p>
    <w:p w:rsidR="0006673F" w:rsidRDefault="0006673F" w:rsidP="00F35A66">
      <w:pPr>
        <w:spacing w:after="0"/>
        <w:jc w:val="both"/>
      </w:pPr>
    </w:p>
    <w:p w:rsidR="0006673F" w:rsidRPr="0006673F" w:rsidRDefault="0006673F" w:rsidP="0006673F">
      <w:pPr>
        <w:spacing w:after="0"/>
        <w:ind w:left="7080" w:firstLine="708"/>
        <w:jc w:val="both"/>
      </w:pPr>
      <w:r>
        <w:t>Sylvain Bory</w:t>
      </w:r>
    </w:p>
    <w:p w:rsidR="0006673F" w:rsidRDefault="0006673F" w:rsidP="00F35A66">
      <w:pPr>
        <w:spacing w:after="0"/>
        <w:jc w:val="both"/>
        <w:rPr>
          <w:b/>
          <w:u w:val="single"/>
        </w:rPr>
      </w:pPr>
    </w:p>
    <w:p w:rsidR="00B57FAE" w:rsidRDefault="00B57FAE" w:rsidP="00F35A66">
      <w:pPr>
        <w:spacing w:after="0"/>
        <w:jc w:val="both"/>
        <w:rPr>
          <w:b/>
          <w:u w:val="single"/>
        </w:rPr>
      </w:pPr>
    </w:p>
    <w:tbl>
      <w:tblPr>
        <w:tblStyle w:val="Grilledutableau"/>
        <w:tblW w:w="0" w:type="auto"/>
        <w:tblLook w:val="04A0" w:firstRow="1" w:lastRow="0" w:firstColumn="1" w:lastColumn="0" w:noHBand="0" w:noVBand="1"/>
      </w:tblPr>
      <w:tblGrid>
        <w:gridCol w:w="9062"/>
      </w:tblGrid>
      <w:tr w:rsidR="00B57FAE" w:rsidTr="00B57FAE">
        <w:tc>
          <w:tcPr>
            <w:tcW w:w="9062" w:type="dxa"/>
          </w:tcPr>
          <w:p w:rsidR="00B57FAE" w:rsidRDefault="00B57FAE" w:rsidP="00F35A66">
            <w:pPr>
              <w:jc w:val="both"/>
              <w:rPr>
                <w:b/>
                <w:u w:val="single"/>
              </w:rPr>
            </w:pPr>
            <w:r>
              <w:rPr>
                <w:b/>
                <w:u w:val="single"/>
              </w:rPr>
              <w:lastRenderedPageBreak/>
              <w:t>AXES MAJEURS DE REFLEXION DU GROUPE</w:t>
            </w:r>
          </w:p>
          <w:p w:rsidR="00B57FAE" w:rsidRDefault="00B57FAE" w:rsidP="00F35A66">
            <w:pPr>
              <w:jc w:val="both"/>
              <w:rPr>
                <w:b/>
                <w:u w:val="single"/>
              </w:rPr>
            </w:pPr>
          </w:p>
          <w:p w:rsidR="00B57FAE" w:rsidRPr="006D22A9" w:rsidRDefault="00B57FAE" w:rsidP="00F35A66">
            <w:pPr>
              <w:jc w:val="both"/>
              <w:rPr>
                <w:b/>
              </w:rPr>
            </w:pPr>
            <w:r w:rsidRPr="006D22A9">
              <w:rPr>
                <w:b/>
              </w:rPr>
              <w:t xml:space="preserve">Projets EAC </w:t>
            </w:r>
          </w:p>
          <w:p w:rsidR="00B57FAE" w:rsidRDefault="00B57FAE" w:rsidP="00B57FAE">
            <w:pPr>
              <w:pStyle w:val="Paragraphedeliste"/>
              <w:numPr>
                <w:ilvl w:val="0"/>
                <w:numId w:val="1"/>
              </w:numPr>
              <w:jc w:val="both"/>
            </w:pPr>
            <w:r>
              <w:t>Penser davantage le parcours de l’élève de la maternelle au lycée en repositionnant nos effo</w:t>
            </w:r>
            <w:r w:rsidR="006D22A9">
              <w:t>rts sur les écoles et les collèges</w:t>
            </w:r>
            <w:r>
              <w:t xml:space="preserve"> (+ inter-degrés)</w:t>
            </w:r>
          </w:p>
          <w:p w:rsidR="00B57FAE" w:rsidRDefault="006D22A9" w:rsidP="00B57FAE">
            <w:pPr>
              <w:pStyle w:val="Paragraphedeliste"/>
              <w:numPr>
                <w:ilvl w:val="0"/>
                <w:numId w:val="1"/>
              </w:numPr>
              <w:jc w:val="both"/>
            </w:pPr>
            <w:r>
              <w:t>Repenser les projets dans le 77 pour recréer des dynamiques</w:t>
            </w:r>
          </w:p>
          <w:p w:rsidR="006D22A9" w:rsidRDefault="006D22A9" w:rsidP="00B57FAE">
            <w:pPr>
              <w:pStyle w:val="Paragraphedeliste"/>
              <w:numPr>
                <w:ilvl w:val="0"/>
                <w:numId w:val="1"/>
              </w:numPr>
              <w:jc w:val="both"/>
            </w:pPr>
            <w:r>
              <w:t>Réfléchir à des cadres de projets ou dispositifs pour renforcer les projets en photographie et en design</w:t>
            </w:r>
          </w:p>
          <w:p w:rsidR="006D22A9" w:rsidRDefault="006D22A9" w:rsidP="00B57FAE">
            <w:pPr>
              <w:pStyle w:val="Paragraphedeliste"/>
              <w:numPr>
                <w:ilvl w:val="0"/>
                <w:numId w:val="1"/>
              </w:numPr>
              <w:jc w:val="both"/>
            </w:pPr>
            <w:r>
              <w:t xml:space="preserve">Suivre les éventuelles répercussions des évolutions du </w:t>
            </w:r>
            <w:proofErr w:type="spellStart"/>
            <w:r>
              <w:t>pass</w:t>
            </w:r>
            <w:proofErr w:type="spellEnd"/>
            <w:r>
              <w:t xml:space="preserve"> Culture (moyens alloués, budget 2026, conclusion du prochain rapport de l’inspection générale)</w:t>
            </w:r>
          </w:p>
          <w:p w:rsidR="006D22A9" w:rsidRDefault="006D22A9" w:rsidP="00B57FAE">
            <w:pPr>
              <w:pStyle w:val="Paragraphedeliste"/>
              <w:numPr>
                <w:ilvl w:val="0"/>
                <w:numId w:val="1"/>
              </w:numPr>
              <w:jc w:val="both"/>
            </w:pPr>
            <w:r>
              <w:t>DAAC : repenser le cahier des charges de l’appel à projets pour plus de simplicité, de clarté, d’efficacité</w:t>
            </w:r>
          </w:p>
          <w:p w:rsidR="006D22A9" w:rsidRDefault="006D22A9" w:rsidP="00B57FAE">
            <w:pPr>
              <w:pStyle w:val="Paragraphedeliste"/>
              <w:numPr>
                <w:ilvl w:val="0"/>
                <w:numId w:val="1"/>
              </w:numPr>
              <w:jc w:val="both"/>
            </w:pPr>
            <w:r>
              <w:t>Suivre des établissements en particulier (selon les priorités académiques, établissements avec des dynamiques EAC développées, établissements avec une appétence EAC mais un manque de méthodologie, établissements sans dynamique EAC) au-delà des seules restitutions de projets.</w:t>
            </w:r>
          </w:p>
          <w:p w:rsidR="006D22A9" w:rsidRDefault="006D22A9" w:rsidP="006D22A9">
            <w:pPr>
              <w:pStyle w:val="Paragraphedeliste"/>
              <w:jc w:val="both"/>
            </w:pPr>
          </w:p>
          <w:p w:rsidR="006D22A9" w:rsidRPr="006D22A9" w:rsidRDefault="006D22A9" w:rsidP="006D22A9">
            <w:pPr>
              <w:jc w:val="both"/>
              <w:rPr>
                <w:b/>
              </w:rPr>
            </w:pPr>
            <w:r w:rsidRPr="006D22A9">
              <w:rPr>
                <w:b/>
              </w:rPr>
              <w:t>Formations EAC</w:t>
            </w:r>
          </w:p>
          <w:p w:rsidR="006D22A9" w:rsidRDefault="006D22A9" w:rsidP="006D22A9">
            <w:pPr>
              <w:pStyle w:val="Paragraphedeliste"/>
              <w:numPr>
                <w:ilvl w:val="0"/>
                <w:numId w:val="1"/>
              </w:numPr>
              <w:jc w:val="both"/>
            </w:pPr>
            <w:r>
              <w:t>Construction des formations actuelles (déroulés des modules) pour les partenaires concernés, et propositions de ressources (plateforme de chaque formation/domaine) ou de prolongement (rencontres culturelles) ouvertes à tous les partenaires</w:t>
            </w:r>
          </w:p>
          <w:p w:rsidR="006D22A9" w:rsidRDefault="006D22A9" w:rsidP="006D22A9">
            <w:pPr>
              <w:pStyle w:val="Paragraphedeliste"/>
              <w:numPr>
                <w:ilvl w:val="0"/>
                <w:numId w:val="1"/>
              </w:numPr>
              <w:jc w:val="both"/>
            </w:pPr>
            <w:r>
              <w:t>Réfléchir à de nouvelles propositions, de nouveaux formats pour 26-27</w:t>
            </w:r>
          </w:p>
          <w:p w:rsidR="006D22A9" w:rsidRDefault="006D22A9" w:rsidP="006D22A9">
            <w:pPr>
              <w:pStyle w:val="Paragraphedeliste"/>
              <w:numPr>
                <w:ilvl w:val="0"/>
                <w:numId w:val="1"/>
              </w:numPr>
              <w:jc w:val="both"/>
            </w:pPr>
            <w:r>
              <w:t>DAAC : groupe de travail sur les formations EAC</w:t>
            </w:r>
          </w:p>
          <w:p w:rsidR="006D22A9" w:rsidRPr="006D22A9" w:rsidRDefault="006D22A9" w:rsidP="006D22A9">
            <w:pPr>
              <w:jc w:val="both"/>
              <w:rPr>
                <w:b/>
              </w:rPr>
            </w:pPr>
          </w:p>
          <w:p w:rsidR="006D22A9" w:rsidRPr="006D22A9" w:rsidRDefault="006D22A9" w:rsidP="006D22A9">
            <w:pPr>
              <w:jc w:val="both"/>
              <w:rPr>
                <w:b/>
              </w:rPr>
            </w:pPr>
            <w:r w:rsidRPr="006D22A9">
              <w:rPr>
                <w:b/>
              </w:rPr>
              <w:t>Partenariat et politiques EAC</w:t>
            </w:r>
          </w:p>
          <w:p w:rsidR="006D22A9" w:rsidRDefault="006D22A9" w:rsidP="006D22A9">
            <w:pPr>
              <w:pStyle w:val="Paragraphedeliste"/>
              <w:numPr>
                <w:ilvl w:val="0"/>
                <w:numId w:val="1"/>
              </w:numPr>
              <w:jc w:val="both"/>
            </w:pPr>
            <w:r>
              <w:t>Articulation de nos actions en lien avec les 4 ambitions culture du nouveau projet académique</w:t>
            </w:r>
          </w:p>
          <w:p w:rsidR="006D22A9" w:rsidRDefault="006D22A9" w:rsidP="006D22A9">
            <w:pPr>
              <w:pStyle w:val="Paragraphedeliste"/>
              <w:numPr>
                <w:ilvl w:val="0"/>
                <w:numId w:val="1"/>
              </w:numPr>
              <w:jc w:val="both"/>
            </w:pPr>
            <w:r>
              <w:t>Réflexion autour des liens entre EAC et métiers (parcours avenir, dimension métiers d’art, cartographie des dispositifs existants)</w:t>
            </w:r>
          </w:p>
          <w:p w:rsidR="006D22A9" w:rsidRDefault="006D22A9" w:rsidP="006D22A9">
            <w:pPr>
              <w:pStyle w:val="Paragraphedeliste"/>
              <w:numPr>
                <w:ilvl w:val="0"/>
                <w:numId w:val="1"/>
              </w:numPr>
              <w:jc w:val="both"/>
            </w:pPr>
            <w:r>
              <w:t>Territorialisation de l’EAC</w:t>
            </w:r>
          </w:p>
          <w:p w:rsidR="00F1188C" w:rsidRDefault="00F1188C" w:rsidP="006D22A9">
            <w:pPr>
              <w:pStyle w:val="Paragraphedeliste"/>
              <w:numPr>
                <w:ilvl w:val="0"/>
                <w:numId w:val="1"/>
              </w:numPr>
              <w:jc w:val="both"/>
            </w:pPr>
            <w:r>
              <w:t>Croisements avec d’autres sujets : inclusion, EVARS,…</w:t>
            </w:r>
            <w:bookmarkStart w:id="0" w:name="_GoBack"/>
            <w:bookmarkEnd w:id="0"/>
          </w:p>
          <w:p w:rsidR="006D22A9" w:rsidRPr="00B57FAE" w:rsidRDefault="006D22A9" w:rsidP="006D22A9">
            <w:pPr>
              <w:pStyle w:val="Paragraphedeliste"/>
              <w:jc w:val="both"/>
            </w:pPr>
          </w:p>
        </w:tc>
      </w:tr>
    </w:tbl>
    <w:p w:rsidR="00B57FAE" w:rsidRDefault="00B57FAE" w:rsidP="00F35A66">
      <w:pPr>
        <w:spacing w:after="0"/>
        <w:jc w:val="both"/>
        <w:rPr>
          <w:b/>
          <w:u w:val="single"/>
        </w:rPr>
      </w:pPr>
    </w:p>
    <w:p w:rsidR="002C6D12" w:rsidRPr="002C6D12" w:rsidRDefault="002C6D12" w:rsidP="00F35A66">
      <w:pPr>
        <w:spacing w:after="0"/>
        <w:jc w:val="both"/>
        <w:rPr>
          <w:b/>
          <w:u w:val="single"/>
        </w:rPr>
      </w:pPr>
      <w:r w:rsidRPr="002C6D12">
        <w:rPr>
          <w:b/>
          <w:u w:val="single"/>
        </w:rPr>
        <w:t>Annexe</w:t>
      </w:r>
    </w:p>
    <w:p w:rsidR="002C6D12" w:rsidRDefault="002C6D12" w:rsidP="00F35A66">
      <w:pPr>
        <w:spacing w:after="0"/>
        <w:jc w:val="both"/>
      </w:pPr>
      <w:r>
        <w:t xml:space="preserve">Courrier concernant la réouverture du </w:t>
      </w:r>
      <w:proofErr w:type="spellStart"/>
      <w:r>
        <w:t>pass</w:t>
      </w:r>
      <w:proofErr w:type="spellEnd"/>
      <w:r>
        <w:t xml:space="preserve"> Culture et l’attribution des moyens 2025 adressé par la </w:t>
      </w:r>
      <w:proofErr w:type="spellStart"/>
      <w:r>
        <w:t>Daac</w:t>
      </w:r>
      <w:proofErr w:type="spellEnd"/>
      <w:r>
        <w:t xml:space="preserve"> aux chefs d’établissement.</w:t>
      </w:r>
    </w:p>
    <w:p w:rsidR="002C6D12" w:rsidRDefault="002C6D12" w:rsidP="002C6D12">
      <w:pPr>
        <w:spacing w:after="0" w:line="240" w:lineRule="auto"/>
        <w:jc w:val="both"/>
        <w:rPr>
          <w:rFonts w:ascii="Calibri" w:eastAsia="Calibri" w:hAnsi="Calibri" w:cs="Calibri"/>
          <w:i/>
          <w:iCs/>
        </w:rPr>
      </w:pPr>
    </w:p>
    <w:p w:rsidR="002C6D12" w:rsidRPr="002C6D12" w:rsidRDefault="002C6D12" w:rsidP="002C6D12">
      <w:pPr>
        <w:spacing w:after="0" w:line="240" w:lineRule="auto"/>
        <w:jc w:val="both"/>
        <w:rPr>
          <w:rFonts w:ascii="Calibri" w:eastAsia="Calibri" w:hAnsi="Calibri" w:cs="Calibri"/>
          <w:i/>
          <w:iCs/>
        </w:rPr>
      </w:pPr>
      <w:r w:rsidRPr="002C6D12">
        <w:rPr>
          <w:rFonts w:ascii="Calibri" w:eastAsia="Calibri" w:hAnsi="Calibri" w:cs="Calibri"/>
          <w:i/>
          <w:iCs/>
        </w:rPr>
        <w:t>Madame, Monsieur le chef d'établissement,</w:t>
      </w:r>
    </w:p>
    <w:p w:rsidR="002C6D12" w:rsidRPr="002C6D12" w:rsidRDefault="002C6D12" w:rsidP="002C6D12">
      <w:pPr>
        <w:spacing w:after="0" w:line="240" w:lineRule="auto"/>
        <w:jc w:val="both"/>
        <w:rPr>
          <w:rFonts w:ascii="Calibri" w:eastAsia="Calibri" w:hAnsi="Calibri" w:cs="Calibri"/>
          <w:i/>
          <w:iCs/>
        </w:rPr>
      </w:pPr>
    </w:p>
    <w:p w:rsidR="002C6D12" w:rsidRPr="002C6D12" w:rsidRDefault="002C6D12" w:rsidP="002C6D12">
      <w:pPr>
        <w:spacing w:after="0" w:line="240" w:lineRule="auto"/>
        <w:jc w:val="both"/>
        <w:rPr>
          <w:rFonts w:ascii="Calibri" w:eastAsia="Calibri" w:hAnsi="Calibri" w:cs="Calibri"/>
          <w:i/>
          <w:iCs/>
        </w:rPr>
      </w:pPr>
      <w:r w:rsidRPr="002C6D12">
        <w:rPr>
          <w:rFonts w:ascii="Calibri" w:eastAsia="Calibri" w:hAnsi="Calibri" w:cs="Calibri"/>
          <w:i/>
          <w:iCs/>
        </w:rPr>
        <w:t xml:space="preserve">Au début du mois de juillet, le ministère </w:t>
      </w:r>
      <w:hyperlink r:id="rId12" w:history="1">
        <w:r w:rsidRPr="002C6D12">
          <w:rPr>
            <w:rFonts w:ascii="Calibri" w:eastAsia="Calibri" w:hAnsi="Calibri" w:cs="Calibri"/>
            <w:i/>
            <w:iCs/>
            <w:color w:val="0563C1"/>
            <w:u w:val="single"/>
          </w:rPr>
          <w:t>a annoncé</w:t>
        </w:r>
      </w:hyperlink>
      <w:r w:rsidRPr="002C6D12">
        <w:rPr>
          <w:rFonts w:ascii="Calibri" w:eastAsia="Calibri" w:hAnsi="Calibri" w:cs="Calibri"/>
          <w:i/>
          <w:iCs/>
        </w:rPr>
        <w:t xml:space="preserve"> la reprise des actions d’EAC financées par la part collective du </w:t>
      </w:r>
      <w:proofErr w:type="spellStart"/>
      <w:r w:rsidRPr="002C6D12">
        <w:rPr>
          <w:rFonts w:ascii="Calibri" w:eastAsia="Calibri" w:hAnsi="Calibri" w:cs="Calibri"/>
          <w:i/>
          <w:iCs/>
        </w:rPr>
        <w:t>pass</w:t>
      </w:r>
      <w:proofErr w:type="spellEnd"/>
      <w:r w:rsidRPr="002C6D12">
        <w:rPr>
          <w:rFonts w:ascii="Calibri" w:eastAsia="Calibri" w:hAnsi="Calibri" w:cs="Calibri"/>
          <w:i/>
          <w:iCs/>
        </w:rPr>
        <w:t xml:space="preserve"> Culture le 1er octobre 2025. Les crédits disponibles pour la fin de l’année civile 2025, c’est-à-dire 15,2 millions d’euros sur l’enveloppe initiale de 72 millions d’euros alloués en loi de finances 2025, ont été répartis par établissement au prorata du nombre d’élèves avec un minimum, pour tout établissement, de 400€, somme correspondant au coût moyen d’une action, afin de permettre au moins une action pédagogique d’ici décembre. </w:t>
      </w:r>
    </w:p>
    <w:p w:rsidR="002C6D12" w:rsidRPr="002C6D12" w:rsidRDefault="002C6D12" w:rsidP="002C6D12">
      <w:pPr>
        <w:spacing w:after="0" w:line="240" w:lineRule="auto"/>
        <w:jc w:val="both"/>
        <w:rPr>
          <w:rFonts w:ascii="Calibri" w:eastAsia="Calibri" w:hAnsi="Calibri" w:cs="Calibri"/>
          <w:i/>
          <w:iCs/>
        </w:rPr>
      </w:pPr>
      <w:r w:rsidRPr="002C6D12">
        <w:rPr>
          <w:rFonts w:ascii="Calibri" w:eastAsia="Calibri" w:hAnsi="Calibri" w:cs="Calibri"/>
          <w:i/>
          <w:iCs/>
        </w:rPr>
        <w:t>Pour la deuxième partie de l’année scolaire, les nouveaux crédits vous seront notifiés dans les prochains mois.</w:t>
      </w:r>
    </w:p>
    <w:p w:rsidR="002C6D12" w:rsidRPr="002C6D12" w:rsidRDefault="002C6D12" w:rsidP="002C6D12">
      <w:pPr>
        <w:spacing w:after="0" w:line="240" w:lineRule="auto"/>
        <w:jc w:val="both"/>
        <w:rPr>
          <w:rFonts w:ascii="Calibri" w:eastAsia="Calibri" w:hAnsi="Calibri" w:cs="Calibri"/>
          <w:b/>
          <w:bCs/>
          <w:i/>
          <w:iCs/>
        </w:rPr>
      </w:pPr>
      <w:r w:rsidRPr="002C6D12">
        <w:rPr>
          <w:rFonts w:ascii="Calibri" w:eastAsia="Calibri" w:hAnsi="Calibri" w:cs="Calibri"/>
          <w:i/>
          <w:iCs/>
        </w:rPr>
        <w:t xml:space="preserve">Afin de permettre à vos équipes de préparer les projets pédagogiques, les pré-réservations seront possibles dans ADAGE à partir du 15 septembre et nous vous informons que le budget de fin d'année civile 2025 alloué à votre établissement, et qui sera affiché dans ADAGE le 1er octobre, est de : </w:t>
      </w:r>
      <w:r w:rsidRPr="002C6D12">
        <w:rPr>
          <w:rFonts w:ascii="Calibri" w:eastAsia="Calibri" w:hAnsi="Calibri" w:cs="Calibri"/>
          <w:b/>
          <w:bCs/>
          <w:i/>
          <w:iCs/>
        </w:rPr>
        <w:t>(insérez ici le montant de la colonne K).</w:t>
      </w:r>
    </w:p>
    <w:p w:rsidR="002C6D12" w:rsidRPr="002C6D12" w:rsidRDefault="002C6D12" w:rsidP="002C6D12">
      <w:pPr>
        <w:spacing w:after="0" w:line="240" w:lineRule="auto"/>
        <w:jc w:val="both"/>
        <w:rPr>
          <w:rFonts w:ascii="Calibri" w:eastAsia="Calibri" w:hAnsi="Calibri" w:cs="Calibri"/>
          <w:i/>
          <w:iCs/>
        </w:rPr>
      </w:pPr>
      <w:r w:rsidRPr="002C6D12">
        <w:rPr>
          <w:rFonts w:ascii="Calibri" w:eastAsia="Calibri" w:hAnsi="Calibri" w:cs="Calibri"/>
          <w:i/>
          <w:iCs/>
        </w:rPr>
        <w:lastRenderedPageBreak/>
        <w:t xml:space="preserve">Les actions devront impérativement être réservées d’ici la fin de l’année civile 2025. Elles pourront se tenir à partir du 1er octobre 2025 et sur l’ensemble de l’année scolaire 2025 – 2026. </w:t>
      </w:r>
    </w:p>
    <w:p w:rsidR="002C6D12" w:rsidRPr="002C6D12" w:rsidRDefault="002C6D12" w:rsidP="002C6D12">
      <w:pPr>
        <w:spacing w:after="0" w:line="240" w:lineRule="auto"/>
        <w:jc w:val="both"/>
        <w:rPr>
          <w:rFonts w:ascii="Calibri" w:eastAsia="Calibri" w:hAnsi="Calibri" w:cs="Calibri"/>
        </w:rPr>
      </w:pPr>
    </w:p>
    <w:p w:rsidR="002C6D12" w:rsidRPr="002C6D12" w:rsidRDefault="002C6D12" w:rsidP="002C6D12">
      <w:pPr>
        <w:spacing w:after="0" w:line="253" w:lineRule="atLeast"/>
        <w:jc w:val="both"/>
        <w:rPr>
          <w:rFonts w:ascii="Arial" w:eastAsia="Times New Roman" w:hAnsi="Arial" w:cs="Arial"/>
          <w:color w:val="000000"/>
          <w:sz w:val="20"/>
          <w:szCs w:val="20"/>
          <w:lang w:eastAsia="fr-FR"/>
        </w:rPr>
      </w:pPr>
      <w:r w:rsidRPr="002C6D12">
        <w:rPr>
          <w:rFonts w:ascii="Arial" w:eastAsia="Times New Roman" w:hAnsi="Arial" w:cs="Arial"/>
          <w:color w:val="000000"/>
          <w:sz w:val="20"/>
          <w:szCs w:val="20"/>
          <w:lang w:eastAsia="fr-FR"/>
        </w:rPr>
        <w:t xml:space="preserve">Dans ce cadre, nous attirons votre attention sur </w:t>
      </w:r>
      <w:r w:rsidRPr="002C6D12">
        <w:rPr>
          <w:rFonts w:ascii="Arial" w:eastAsia="Times New Roman" w:hAnsi="Arial" w:cs="Arial"/>
          <w:b/>
          <w:bCs/>
          <w:color w:val="000000"/>
          <w:sz w:val="20"/>
          <w:szCs w:val="20"/>
          <w:lang w:eastAsia="fr-FR"/>
        </w:rPr>
        <w:t>la priorité</w:t>
      </w:r>
      <w:r w:rsidRPr="002C6D12">
        <w:rPr>
          <w:rFonts w:ascii="Arial" w:eastAsia="Times New Roman" w:hAnsi="Arial" w:cs="Arial"/>
          <w:color w:val="000000"/>
          <w:sz w:val="20"/>
          <w:szCs w:val="20"/>
          <w:lang w:eastAsia="fr-FR"/>
        </w:rPr>
        <w:t xml:space="preserve"> qu’il convient de donner </w:t>
      </w:r>
      <w:r w:rsidRPr="002C6D12">
        <w:rPr>
          <w:rFonts w:ascii="Calibri" w:eastAsia="Calibri" w:hAnsi="Calibri" w:cs="Calibri"/>
        </w:rPr>
        <w:t xml:space="preserve">aux projets les plus structurants, c’est-à-dire ceux qui s’appuient sur un </w:t>
      </w:r>
      <w:r w:rsidRPr="002C6D12">
        <w:rPr>
          <w:rFonts w:ascii="Calibri" w:eastAsia="Calibri" w:hAnsi="Calibri" w:cs="Calibri"/>
          <w:b/>
          <w:bCs/>
        </w:rPr>
        <w:t>partenariat</w:t>
      </w:r>
      <w:r w:rsidRPr="002C6D12">
        <w:rPr>
          <w:rFonts w:ascii="Calibri" w:eastAsia="Calibri" w:hAnsi="Calibri" w:cs="Calibri"/>
        </w:rPr>
        <w:t xml:space="preserve"> artistique et culturel fécond et pérenne, et dont un cahier des charges exigeant permet d’en garantir le bénéfice pédagogique pour les élèves. Ainsi s’agit-il avant tout de </w:t>
      </w:r>
      <w:r w:rsidRPr="002C6D12">
        <w:rPr>
          <w:rFonts w:ascii="Arial" w:eastAsia="Times New Roman" w:hAnsi="Arial" w:cs="Arial"/>
          <w:color w:val="000000"/>
          <w:sz w:val="20"/>
          <w:szCs w:val="20"/>
          <w:lang w:eastAsia="fr-FR"/>
        </w:rPr>
        <w:t xml:space="preserve">sécuriser les </w:t>
      </w:r>
      <w:r w:rsidRPr="002C6D12">
        <w:rPr>
          <w:rFonts w:ascii="Arial" w:eastAsia="Times New Roman" w:hAnsi="Arial" w:cs="Arial"/>
          <w:b/>
          <w:bCs/>
          <w:color w:val="000000"/>
          <w:sz w:val="20"/>
          <w:szCs w:val="20"/>
          <w:lang w:eastAsia="fr-FR"/>
        </w:rPr>
        <w:t>enseignements artistiques partenariaux</w:t>
      </w:r>
      <w:r w:rsidRPr="002C6D12">
        <w:rPr>
          <w:rFonts w:ascii="Arial" w:eastAsia="Times New Roman" w:hAnsi="Arial" w:cs="Arial"/>
          <w:color w:val="000000"/>
          <w:sz w:val="20"/>
          <w:szCs w:val="20"/>
          <w:lang w:eastAsia="fr-FR"/>
        </w:rPr>
        <w:t xml:space="preserve"> (dont les programmes officiels nous obligent), ainsi que les actions EAC qui relèvent des dispositifs structurants et des </w:t>
      </w:r>
      <w:r w:rsidRPr="002C6D12">
        <w:rPr>
          <w:rFonts w:ascii="Arial" w:eastAsia="Times New Roman" w:hAnsi="Arial" w:cs="Arial"/>
          <w:b/>
          <w:bCs/>
          <w:color w:val="000000"/>
          <w:sz w:val="20"/>
          <w:szCs w:val="20"/>
          <w:lang w:eastAsia="fr-FR"/>
        </w:rPr>
        <w:t>appels à projets PEAC</w:t>
      </w:r>
      <w:r w:rsidRPr="002C6D12">
        <w:rPr>
          <w:rFonts w:ascii="Arial" w:eastAsia="Times New Roman" w:hAnsi="Arial" w:cs="Arial"/>
          <w:color w:val="000000"/>
          <w:sz w:val="20"/>
          <w:szCs w:val="20"/>
          <w:lang w:eastAsia="fr-FR"/>
        </w:rPr>
        <w:t xml:space="preserve"> que notre académie finance, et dont les résultats vous seront communiqués à la fin du mois de septembre. </w:t>
      </w:r>
    </w:p>
    <w:p w:rsidR="002C6D12" w:rsidRPr="002C6D12" w:rsidRDefault="002C6D12" w:rsidP="002C6D12">
      <w:pPr>
        <w:spacing w:after="0" w:line="240" w:lineRule="auto"/>
        <w:jc w:val="both"/>
        <w:rPr>
          <w:rFonts w:ascii="Calibri" w:eastAsia="Calibri" w:hAnsi="Calibri" w:cs="Calibri"/>
        </w:rPr>
      </w:pPr>
      <w:r w:rsidRPr="002C6D12">
        <w:rPr>
          <w:rFonts w:ascii="Calibri" w:eastAsia="Calibri" w:hAnsi="Calibri" w:cs="Calibri"/>
        </w:rPr>
        <w:t>L’équipe de la Délégation Académique à l’éducation Artistique et Culturelle (DAAC) se tient prête pour vous accompagner dans la mise en œuvre de cette politique essentielle à la réussite et à la formation des élèves.</w:t>
      </w:r>
    </w:p>
    <w:p w:rsidR="002C6D12" w:rsidRPr="002C6D12" w:rsidRDefault="002C6D12" w:rsidP="002C6D12">
      <w:pPr>
        <w:spacing w:after="0" w:line="240" w:lineRule="auto"/>
        <w:jc w:val="both"/>
        <w:rPr>
          <w:rFonts w:ascii="Calibri" w:eastAsia="Calibri" w:hAnsi="Calibri" w:cs="Calibri"/>
          <w:i/>
          <w:iCs/>
        </w:rPr>
      </w:pPr>
      <w:r w:rsidRPr="002C6D12">
        <w:rPr>
          <w:rFonts w:ascii="Calibri" w:eastAsia="Calibri" w:hAnsi="Calibri" w:cs="Calibri"/>
          <w:i/>
          <w:iCs/>
        </w:rPr>
        <w:t>Nous restons à votre disposition pour tout complément d’information et nous vous souhaitons une bonne rentrée scolaire.</w:t>
      </w:r>
    </w:p>
    <w:p w:rsidR="002C6D12" w:rsidRDefault="002C6D12" w:rsidP="00F35A66">
      <w:pPr>
        <w:spacing w:after="0"/>
        <w:jc w:val="both"/>
      </w:pPr>
    </w:p>
    <w:sectPr w:rsidR="002C6D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4040FA"/>
    <w:multiLevelType w:val="hybridMultilevel"/>
    <w:tmpl w:val="7772B6F6"/>
    <w:lvl w:ilvl="0" w:tplc="36CA6CCE">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AAE"/>
    <w:rsid w:val="0005429F"/>
    <w:rsid w:val="0006673F"/>
    <w:rsid w:val="00282581"/>
    <w:rsid w:val="002C6D12"/>
    <w:rsid w:val="00366378"/>
    <w:rsid w:val="003E7003"/>
    <w:rsid w:val="004F1D2C"/>
    <w:rsid w:val="006D22A9"/>
    <w:rsid w:val="007D239D"/>
    <w:rsid w:val="009600DF"/>
    <w:rsid w:val="00A86CA4"/>
    <w:rsid w:val="00B57FAE"/>
    <w:rsid w:val="00C41AAE"/>
    <w:rsid w:val="00F1188C"/>
    <w:rsid w:val="00F35A66"/>
    <w:rsid w:val="00F441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E9139"/>
  <w15:chartTrackingRefBased/>
  <w15:docId w15:val="{25F16AA8-4E45-4964-BC32-0B16B9C8B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41AAE"/>
    <w:rPr>
      <w:color w:val="0563C1" w:themeColor="hyperlink"/>
      <w:u w:val="single"/>
    </w:rPr>
  </w:style>
  <w:style w:type="paragraph" w:styleId="Paragraphedeliste">
    <w:name w:val="List Paragraph"/>
    <w:basedOn w:val="Normal"/>
    <w:uiPriority w:val="34"/>
    <w:qFormat/>
    <w:rsid w:val="002C6D12"/>
    <w:pPr>
      <w:ind w:left="720"/>
      <w:contextualSpacing/>
    </w:pPr>
  </w:style>
  <w:style w:type="table" w:styleId="Grilledutableau">
    <w:name w:val="Table Grid"/>
    <w:basedOn w:val="TableauNormal"/>
    <w:uiPriority w:val="39"/>
    <w:rsid w:val="00B57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561063">
      <w:bodyDiv w:val="1"/>
      <w:marLeft w:val="0"/>
      <w:marRight w:val="0"/>
      <w:marTop w:val="0"/>
      <w:marBottom w:val="0"/>
      <w:divBdr>
        <w:top w:val="none" w:sz="0" w:space="0" w:color="auto"/>
        <w:left w:val="none" w:sz="0" w:space="0" w:color="auto"/>
        <w:bottom w:val="none" w:sz="0" w:space="0" w:color="auto"/>
        <w:right w:val="none" w:sz="0" w:space="0" w:color="auto"/>
      </w:divBdr>
      <w:divsChild>
        <w:div w:id="1136220360">
          <w:marLeft w:val="0"/>
          <w:marRight w:val="0"/>
          <w:marTop w:val="0"/>
          <w:marBottom w:val="0"/>
          <w:divBdr>
            <w:top w:val="none" w:sz="0" w:space="0" w:color="auto"/>
            <w:left w:val="none" w:sz="0" w:space="0" w:color="auto"/>
            <w:bottom w:val="none" w:sz="0" w:space="0" w:color="auto"/>
            <w:right w:val="none" w:sz="0" w:space="0" w:color="auto"/>
          </w:divBdr>
        </w:div>
        <w:div w:id="637034159">
          <w:marLeft w:val="0"/>
          <w:marRight w:val="0"/>
          <w:marTop w:val="0"/>
          <w:marBottom w:val="0"/>
          <w:divBdr>
            <w:top w:val="none" w:sz="0" w:space="0" w:color="auto"/>
            <w:left w:val="none" w:sz="0" w:space="0" w:color="auto"/>
            <w:bottom w:val="none" w:sz="0" w:space="0" w:color="auto"/>
            <w:right w:val="none" w:sz="0" w:space="0" w:color="auto"/>
          </w:divBdr>
        </w:div>
        <w:div w:id="181672503">
          <w:marLeft w:val="0"/>
          <w:marRight w:val="0"/>
          <w:marTop w:val="0"/>
          <w:marBottom w:val="0"/>
          <w:divBdr>
            <w:top w:val="none" w:sz="0" w:space="0" w:color="auto"/>
            <w:left w:val="none" w:sz="0" w:space="0" w:color="auto"/>
            <w:bottom w:val="none" w:sz="0" w:space="0" w:color="auto"/>
            <w:right w:val="none" w:sz="0" w:space="0" w:color="auto"/>
          </w:divBdr>
        </w:div>
        <w:div w:id="839152148">
          <w:marLeft w:val="0"/>
          <w:marRight w:val="0"/>
          <w:marTop w:val="0"/>
          <w:marBottom w:val="0"/>
          <w:divBdr>
            <w:top w:val="none" w:sz="0" w:space="0" w:color="auto"/>
            <w:left w:val="none" w:sz="0" w:space="0" w:color="auto"/>
            <w:bottom w:val="none" w:sz="0" w:space="0" w:color="auto"/>
            <w:right w:val="none" w:sz="0" w:space="0" w:color="auto"/>
          </w:divBdr>
        </w:div>
        <w:div w:id="76439753">
          <w:marLeft w:val="0"/>
          <w:marRight w:val="0"/>
          <w:marTop w:val="0"/>
          <w:marBottom w:val="0"/>
          <w:divBdr>
            <w:top w:val="none" w:sz="0" w:space="0" w:color="auto"/>
            <w:left w:val="none" w:sz="0" w:space="0" w:color="auto"/>
            <w:bottom w:val="none" w:sz="0" w:space="0" w:color="auto"/>
            <w:right w:val="none" w:sz="0" w:space="0" w:color="auto"/>
          </w:divBdr>
        </w:div>
        <w:div w:id="836919117">
          <w:marLeft w:val="0"/>
          <w:marRight w:val="0"/>
          <w:marTop w:val="0"/>
          <w:marBottom w:val="0"/>
          <w:divBdr>
            <w:top w:val="none" w:sz="0" w:space="0" w:color="auto"/>
            <w:left w:val="none" w:sz="0" w:space="0" w:color="auto"/>
            <w:bottom w:val="none" w:sz="0" w:space="0" w:color="auto"/>
            <w:right w:val="none" w:sz="0" w:space="0" w:color="auto"/>
          </w:divBdr>
        </w:div>
        <w:div w:id="1114792629">
          <w:marLeft w:val="0"/>
          <w:marRight w:val="0"/>
          <w:marTop w:val="0"/>
          <w:marBottom w:val="0"/>
          <w:divBdr>
            <w:top w:val="none" w:sz="0" w:space="0" w:color="auto"/>
            <w:left w:val="none" w:sz="0" w:space="0" w:color="auto"/>
            <w:bottom w:val="none" w:sz="0" w:space="0" w:color="auto"/>
            <w:right w:val="none" w:sz="0" w:space="0" w:color="auto"/>
          </w:divBdr>
        </w:div>
        <w:div w:id="1471095684">
          <w:marLeft w:val="0"/>
          <w:marRight w:val="0"/>
          <w:marTop w:val="0"/>
          <w:marBottom w:val="0"/>
          <w:divBdr>
            <w:top w:val="none" w:sz="0" w:space="0" w:color="auto"/>
            <w:left w:val="none" w:sz="0" w:space="0" w:color="auto"/>
            <w:bottom w:val="none" w:sz="0" w:space="0" w:color="auto"/>
            <w:right w:val="none" w:sz="0" w:space="0" w:color="auto"/>
          </w:divBdr>
        </w:div>
        <w:div w:id="175464459">
          <w:marLeft w:val="0"/>
          <w:marRight w:val="0"/>
          <w:marTop w:val="0"/>
          <w:marBottom w:val="0"/>
          <w:divBdr>
            <w:top w:val="none" w:sz="0" w:space="0" w:color="auto"/>
            <w:left w:val="none" w:sz="0" w:space="0" w:color="auto"/>
            <w:bottom w:val="none" w:sz="0" w:space="0" w:color="auto"/>
            <w:right w:val="none" w:sz="0" w:space="0" w:color="auto"/>
          </w:divBdr>
        </w:div>
        <w:div w:id="559249030">
          <w:marLeft w:val="0"/>
          <w:marRight w:val="0"/>
          <w:marTop w:val="0"/>
          <w:marBottom w:val="0"/>
          <w:divBdr>
            <w:top w:val="none" w:sz="0" w:space="0" w:color="auto"/>
            <w:left w:val="none" w:sz="0" w:space="0" w:color="auto"/>
            <w:bottom w:val="none" w:sz="0" w:space="0" w:color="auto"/>
            <w:right w:val="none" w:sz="0" w:space="0" w:color="auto"/>
          </w:divBdr>
        </w:div>
        <w:div w:id="216674781">
          <w:marLeft w:val="0"/>
          <w:marRight w:val="0"/>
          <w:marTop w:val="0"/>
          <w:marBottom w:val="0"/>
          <w:divBdr>
            <w:top w:val="none" w:sz="0" w:space="0" w:color="auto"/>
            <w:left w:val="none" w:sz="0" w:space="0" w:color="auto"/>
            <w:bottom w:val="none" w:sz="0" w:space="0" w:color="auto"/>
            <w:right w:val="none" w:sz="0" w:space="0" w:color="auto"/>
          </w:divBdr>
        </w:div>
        <w:div w:id="164632887">
          <w:marLeft w:val="0"/>
          <w:marRight w:val="0"/>
          <w:marTop w:val="0"/>
          <w:marBottom w:val="0"/>
          <w:divBdr>
            <w:top w:val="none" w:sz="0" w:space="0" w:color="auto"/>
            <w:left w:val="none" w:sz="0" w:space="0" w:color="auto"/>
            <w:bottom w:val="none" w:sz="0" w:space="0" w:color="auto"/>
            <w:right w:val="none" w:sz="0" w:space="0" w:color="auto"/>
          </w:divBdr>
        </w:div>
        <w:div w:id="1839610201">
          <w:marLeft w:val="0"/>
          <w:marRight w:val="0"/>
          <w:marTop w:val="0"/>
          <w:marBottom w:val="0"/>
          <w:divBdr>
            <w:top w:val="none" w:sz="0" w:space="0" w:color="auto"/>
            <w:left w:val="none" w:sz="0" w:space="0" w:color="auto"/>
            <w:bottom w:val="none" w:sz="0" w:space="0" w:color="auto"/>
            <w:right w:val="none" w:sz="0" w:space="0" w:color="auto"/>
          </w:divBdr>
        </w:div>
        <w:div w:id="625351726">
          <w:marLeft w:val="0"/>
          <w:marRight w:val="0"/>
          <w:marTop w:val="0"/>
          <w:marBottom w:val="0"/>
          <w:divBdr>
            <w:top w:val="none" w:sz="0" w:space="0" w:color="auto"/>
            <w:left w:val="none" w:sz="0" w:space="0" w:color="auto"/>
            <w:bottom w:val="none" w:sz="0" w:space="0" w:color="auto"/>
            <w:right w:val="none" w:sz="0" w:space="0" w:color="auto"/>
          </w:divBdr>
        </w:div>
        <w:div w:id="383019805">
          <w:marLeft w:val="0"/>
          <w:marRight w:val="0"/>
          <w:marTop w:val="0"/>
          <w:marBottom w:val="0"/>
          <w:divBdr>
            <w:top w:val="none" w:sz="0" w:space="0" w:color="auto"/>
            <w:left w:val="none" w:sz="0" w:space="0" w:color="auto"/>
            <w:bottom w:val="none" w:sz="0" w:space="0" w:color="auto"/>
            <w:right w:val="none" w:sz="0" w:space="0" w:color="auto"/>
          </w:divBdr>
        </w:div>
        <w:div w:id="1311399268">
          <w:marLeft w:val="0"/>
          <w:marRight w:val="0"/>
          <w:marTop w:val="0"/>
          <w:marBottom w:val="0"/>
          <w:divBdr>
            <w:top w:val="none" w:sz="0" w:space="0" w:color="auto"/>
            <w:left w:val="none" w:sz="0" w:space="0" w:color="auto"/>
            <w:bottom w:val="none" w:sz="0" w:space="0" w:color="auto"/>
            <w:right w:val="none" w:sz="0" w:space="0" w:color="auto"/>
          </w:divBdr>
        </w:div>
        <w:div w:id="1585718651">
          <w:marLeft w:val="0"/>
          <w:marRight w:val="0"/>
          <w:marTop w:val="0"/>
          <w:marBottom w:val="0"/>
          <w:divBdr>
            <w:top w:val="none" w:sz="0" w:space="0" w:color="auto"/>
            <w:left w:val="none" w:sz="0" w:space="0" w:color="auto"/>
            <w:bottom w:val="none" w:sz="0" w:space="0" w:color="auto"/>
            <w:right w:val="none" w:sz="0" w:space="0" w:color="auto"/>
          </w:divBdr>
        </w:div>
        <w:div w:id="1902330419">
          <w:marLeft w:val="0"/>
          <w:marRight w:val="0"/>
          <w:marTop w:val="0"/>
          <w:marBottom w:val="0"/>
          <w:divBdr>
            <w:top w:val="none" w:sz="0" w:space="0" w:color="auto"/>
            <w:left w:val="none" w:sz="0" w:space="0" w:color="auto"/>
            <w:bottom w:val="none" w:sz="0" w:space="0" w:color="auto"/>
            <w:right w:val="none" w:sz="0" w:space="0" w:color="auto"/>
          </w:divBdr>
        </w:div>
        <w:div w:id="790321646">
          <w:marLeft w:val="0"/>
          <w:marRight w:val="0"/>
          <w:marTop w:val="0"/>
          <w:marBottom w:val="0"/>
          <w:divBdr>
            <w:top w:val="none" w:sz="0" w:space="0" w:color="auto"/>
            <w:left w:val="none" w:sz="0" w:space="0" w:color="auto"/>
            <w:bottom w:val="none" w:sz="0" w:space="0" w:color="auto"/>
            <w:right w:val="none" w:sz="0" w:space="0" w:color="auto"/>
          </w:divBdr>
        </w:div>
      </w:divsChild>
    </w:div>
    <w:div w:id="968434899">
      <w:bodyDiv w:val="1"/>
      <w:marLeft w:val="0"/>
      <w:marRight w:val="0"/>
      <w:marTop w:val="0"/>
      <w:marBottom w:val="0"/>
      <w:divBdr>
        <w:top w:val="none" w:sz="0" w:space="0" w:color="auto"/>
        <w:left w:val="none" w:sz="0" w:space="0" w:color="auto"/>
        <w:bottom w:val="none" w:sz="0" w:space="0" w:color="auto"/>
        <w:right w:val="none" w:sz="0" w:space="0" w:color="auto"/>
      </w:divBdr>
      <w:divsChild>
        <w:div w:id="1215964981">
          <w:marLeft w:val="0"/>
          <w:marRight w:val="0"/>
          <w:marTop w:val="0"/>
          <w:marBottom w:val="0"/>
          <w:divBdr>
            <w:top w:val="none" w:sz="0" w:space="0" w:color="auto"/>
            <w:left w:val="none" w:sz="0" w:space="0" w:color="auto"/>
            <w:bottom w:val="none" w:sz="0" w:space="0" w:color="auto"/>
            <w:right w:val="none" w:sz="0" w:space="0" w:color="auto"/>
          </w:divBdr>
        </w:div>
        <w:div w:id="1009453965">
          <w:marLeft w:val="0"/>
          <w:marRight w:val="0"/>
          <w:marTop w:val="0"/>
          <w:marBottom w:val="0"/>
          <w:divBdr>
            <w:top w:val="none" w:sz="0" w:space="0" w:color="auto"/>
            <w:left w:val="none" w:sz="0" w:space="0" w:color="auto"/>
            <w:bottom w:val="none" w:sz="0" w:space="0" w:color="auto"/>
            <w:right w:val="none" w:sz="0" w:space="0" w:color="auto"/>
          </w:divBdr>
        </w:div>
      </w:divsChild>
    </w:div>
    <w:div w:id="1052534969">
      <w:bodyDiv w:val="1"/>
      <w:marLeft w:val="0"/>
      <w:marRight w:val="0"/>
      <w:marTop w:val="0"/>
      <w:marBottom w:val="0"/>
      <w:divBdr>
        <w:top w:val="none" w:sz="0" w:space="0" w:color="auto"/>
        <w:left w:val="none" w:sz="0" w:space="0" w:color="auto"/>
        <w:bottom w:val="none" w:sz="0" w:space="0" w:color="auto"/>
        <w:right w:val="none" w:sz="0" w:space="0" w:color="auto"/>
      </w:divBdr>
      <w:divsChild>
        <w:div w:id="55010841">
          <w:marLeft w:val="0"/>
          <w:marRight w:val="0"/>
          <w:marTop w:val="0"/>
          <w:marBottom w:val="0"/>
          <w:divBdr>
            <w:top w:val="none" w:sz="0" w:space="0" w:color="auto"/>
            <w:left w:val="none" w:sz="0" w:space="0" w:color="auto"/>
            <w:bottom w:val="none" w:sz="0" w:space="0" w:color="auto"/>
            <w:right w:val="none" w:sz="0" w:space="0" w:color="auto"/>
          </w:divBdr>
        </w:div>
        <w:div w:id="107549679">
          <w:marLeft w:val="0"/>
          <w:marRight w:val="0"/>
          <w:marTop w:val="0"/>
          <w:marBottom w:val="0"/>
          <w:divBdr>
            <w:top w:val="none" w:sz="0" w:space="0" w:color="auto"/>
            <w:left w:val="none" w:sz="0" w:space="0" w:color="auto"/>
            <w:bottom w:val="none" w:sz="0" w:space="0" w:color="auto"/>
            <w:right w:val="none" w:sz="0" w:space="0" w:color="auto"/>
          </w:divBdr>
        </w:div>
      </w:divsChild>
    </w:div>
    <w:div w:id="1623806026">
      <w:bodyDiv w:val="1"/>
      <w:marLeft w:val="0"/>
      <w:marRight w:val="0"/>
      <w:marTop w:val="0"/>
      <w:marBottom w:val="0"/>
      <w:divBdr>
        <w:top w:val="none" w:sz="0" w:space="0" w:color="auto"/>
        <w:left w:val="none" w:sz="0" w:space="0" w:color="auto"/>
        <w:bottom w:val="none" w:sz="0" w:space="0" w:color="auto"/>
        <w:right w:val="none" w:sz="0" w:space="0" w:color="auto"/>
      </w:divBdr>
      <w:divsChild>
        <w:div w:id="1487017412">
          <w:marLeft w:val="0"/>
          <w:marRight w:val="0"/>
          <w:marTop w:val="0"/>
          <w:marBottom w:val="0"/>
          <w:divBdr>
            <w:top w:val="none" w:sz="0" w:space="0" w:color="auto"/>
            <w:left w:val="none" w:sz="0" w:space="0" w:color="auto"/>
            <w:bottom w:val="none" w:sz="0" w:space="0" w:color="auto"/>
            <w:right w:val="none" w:sz="0" w:space="0" w:color="auto"/>
          </w:divBdr>
        </w:div>
        <w:div w:id="121389315">
          <w:marLeft w:val="0"/>
          <w:marRight w:val="0"/>
          <w:marTop w:val="0"/>
          <w:marBottom w:val="0"/>
          <w:divBdr>
            <w:top w:val="none" w:sz="0" w:space="0" w:color="auto"/>
            <w:left w:val="none" w:sz="0" w:space="0" w:color="auto"/>
            <w:bottom w:val="none" w:sz="0" w:space="0" w:color="auto"/>
            <w:right w:val="none" w:sz="0" w:space="0" w:color="auto"/>
          </w:divBdr>
        </w:div>
        <w:div w:id="901866532">
          <w:marLeft w:val="0"/>
          <w:marRight w:val="0"/>
          <w:marTop w:val="0"/>
          <w:marBottom w:val="0"/>
          <w:divBdr>
            <w:top w:val="none" w:sz="0" w:space="0" w:color="auto"/>
            <w:left w:val="none" w:sz="0" w:space="0" w:color="auto"/>
            <w:bottom w:val="none" w:sz="0" w:space="0" w:color="auto"/>
            <w:right w:val="none" w:sz="0" w:space="0" w:color="auto"/>
          </w:divBdr>
        </w:div>
        <w:div w:id="1298756885">
          <w:marLeft w:val="0"/>
          <w:marRight w:val="0"/>
          <w:marTop w:val="0"/>
          <w:marBottom w:val="0"/>
          <w:divBdr>
            <w:top w:val="none" w:sz="0" w:space="0" w:color="auto"/>
            <w:left w:val="none" w:sz="0" w:space="0" w:color="auto"/>
            <w:bottom w:val="none" w:sz="0" w:space="0" w:color="auto"/>
            <w:right w:val="none" w:sz="0" w:space="0" w:color="auto"/>
          </w:divBdr>
        </w:div>
        <w:div w:id="1369136414">
          <w:marLeft w:val="0"/>
          <w:marRight w:val="0"/>
          <w:marTop w:val="0"/>
          <w:marBottom w:val="0"/>
          <w:divBdr>
            <w:top w:val="none" w:sz="0" w:space="0" w:color="auto"/>
            <w:left w:val="none" w:sz="0" w:space="0" w:color="auto"/>
            <w:bottom w:val="none" w:sz="0" w:space="0" w:color="auto"/>
            <w:right w:val="none" w:sz="0" w:space="0" w:color="auto"/>
          </w:divBdr>
        </w:div>
        <w:div w:id="1677001364">
          <w:marLeft w:val="0"/>
          <w:marRight w:val="0"/>
          <w:marTop w:val="0"/>
          <w:marBottom w:val="0"/>
          <w:divBdr>
            <w:top w:val="none" w:sz="0" w:space="0" w:color="auto"/>
            <w:left w:val="none" w:sz="0" w:space="0" w:color="auto"/>
            <w:bottom w:val="none" w:sz="0" w:space="0" w:color="auto"/>
            <w:right w:val="none" w:sz="0" w:space="0" w:color="auto"/>
          </w:divBdr>
        </w:div>
        <w:div w:id="1771896891">
          <w:marLeft w:val="0"/>
          <w:marRight w:val="0"/>
          <w:marTop w:val="0"/>
          <w:marBottom w:val="0"/>
          <w:divBdr>
            <w:top w:val="none" w:sz="0" w:space="0" w:color="auto"/>
            <w:left w:val="none" w:sz="0" w:space="0" w:color="auto"/>
            <w:bottom w:val="none" w:sz="0" w:space="0" w:color="auto"/>
            <w:right w:val="none" w:sz="0" w:space="0" w:color="auto"/>
          </w:divBdr>
        </w:div>
      </w:divsChild>
    </w:div>
    <w:div w:id="2124573333">
      <w:bodyDiv w:val="1"/>
      <w:marLeft w:val="0"/>
      <w:marRight w:val="0"/>
      <w:marTop w:val="0"/>
      <w:marBottom w:val="0"/>
      <w:divBdr>
        <w:top w:val="none" w:sz="0" w:space="0" w:color="auto"/>
        <w:left w:val="none" w:sz="0" w:space="0" w:color="auto"/>
        <w:bottom w:val="none" w:sz="0" w:space="0" w:color="auto"/>
        <w:right w:val="none" w:sz="0" w:space="0" w:color="auto"/>
      </w:divBdr>
      <w:divsChild>
        <w:div w:id="548568468">
          <w:marLeft w:val="0"/>
          <w:marRight w:val="0"/>
          <w:marTop w:val="0"/>
          <w:marBottom w:val="0"/>
          <w:divBdr>
            <w:top w:val="none" w:sz="0" w:space="0" w:color="auto"/>
            <w:left w:val="none" w:sz="0" w:space="0" w:color="auto"/>
            <w:bottom w:val="none" w:sz="0" w:space="0" w:color="auto"/>
            <w:right w:val="none" w:sz="0" w:space="0" w:color="auto"/>
          </w:divBdr>
        </w:div>
        <w:div w:id="865407855">
          <w:marLeft w:val="0"/>
          <w:marRight w:val="0"/>
          <w:marTop w:val="0"/>
          <w:marBottom w:val="0"/>
          <w:divBdr>
            <w:top w:val="none" w:sz="0" w:space="0" w:color="auto"/>
            <w:left w:val="none" w:sz="0" w:space="0" w:color="auto"/>
            <w:bottom w:val="none" w:sz="0" w:space="0" w:color="auto"/>
            <w:right w:val="none" w:sz="0" w:space="0" w:color="auto"/>
          </w:divBdr>
        </w:div>
        <w:div w:id="5440290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cation.gouv.fr/cadre-d-usage-de-l-ia-en-education-45064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ducation.gouv.fr/bo/2025/Hebdo27/MENE2518841C" TargetMode="External"/><Relationship Id="rId12" Type="http://schemas.openxmlformats.org/officeDocument/2006/relationships/hyperlink" Target="https://www.education.gouv.fr/pass-culture-reouverture-de-la-part-collective-pour-la-deuxieme-partie-de-l-annee-civile-2025-45086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ducation.gouv.fr/pass-culture-reouverture-de-la-part-collective-pour-la-deuxieme-partie-de-l-annee-civile-2025-450862" TargetMode="External"/><Relationship Id="rId11" Type="http://schemas.openxmlformats.org/officeDocument/2006/relationships/hyperlink" Target="https://www.fondation-pernod-ricard.com/fr/expo/sorry-sun" TargetMode="External"/><Relationship Id="rId5" Type="http://schemas.openxmlformats.org/officeDocument/2006/relationships/hyperlink" Target="https://sylvainbory.netboard.me/groupecrsteilav/?tab=414213" TargetMode="External"/><Relationship Id="rId10" Type="http://schemas.openxmlformats.org/officeDocument/2006/relationships/hyperlink" Target="https://sylvainbory.netboard.me/groupecrsteilav/?tab=414215" TargetMode="External"/><Relationship Id="rId4" Type="http://schemas.openxmlformats.org/officeDocument/2006/relationships/webSettings" Target="webSettings.xml"/><Relationship Id="rId9" Type="http://schemas.openxmlformats.org/officeDocument/2006/relationships/hyperlink" Target="https://sylvainbory.netboard.me/groupecrsteilav/?tab=414216"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6</Pages>
  <Words>2801</Words>
  <Characters>15410</Characters>
  <Application>Microsoft Office Word</Application>
  <DocSecurity>0</DocSecurity>
  <Lines>128</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Sylvain Bory</dc:creator>
  <cp:keywords/>
  <dc:description/>
  <cp:lastModifiedBy>Sylvain Bory</cp:lastModifiedBy>
  <cp:revision>3</cp:revision>
  <dcterms:created xsi:type="dcterms:W3CDTF">2025-10-03T18:20:00Z</dcterms:created>
  <dcterms:modified xsi:type="dcterms:W3CDTF">2025-10-04T10:33:00Z</dcterms:modified>
</cp:coreProperties>
</file>