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1ECE9D62" w:rsidR="0097551E" w:rsidRPr="003A7D2F" w:rsidRDefault="002501B6" w:rsidP="0097551E">
            <w:pPr>
              <w:suppressAutoHyphens/>
              <w:spacing w:before="120" w:after="120" w:line="240" w:lineRule="auto"/>
              <w:jc w:val="both"/>
              <w:rPr>
                <w:rFonts w:eastAsia="Times" w:cstheme="minorHAnsi"/>
                <w:b/>
                <w:lang w:eastAsia="fr-FR"/>
              </w:rPr>
            </w:pPr>
            <w:r>
              <w:rPr>
                <w:rFonts w:eastAsia="Times" w:cstheme="minorHAnsi"/>
                <w:b/>
                <w:lang w:eastAsia="fr-FR"/>
              </w:rPr>
              <w:t>S’approprier les musées (groupe 1)</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6FF1A89E"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2501B6">
              <w:rPr>
                <w:rFonts w:eastAsia="Times" w:cstheme="minorHAnsi"/>
                <w:b/>
                <w:lang w:eastAsia="fr-FR"/>
              </w:rPr>
              <w:t>Jeudi 04 décembre</w:t>
            </w:r>
            <w:r w:rsidRPr="003A7D2F">
              <w:rPr>
                <w:rFonts w:eastAsia="Times" w:cstheme="minorHAnsi"/>
                <w:b/>
                <w:lang w:eastAsia="fr-FR"/>
              </w:rPr>
              <w:t xml:space="preserve"> 2025 9h30-17h</w:t>
            </w:r>
            <w:r w:rsidR="002501B6">
              <w:rPr>
                <w:rFonts w:eastAsia="Times" w:cstheme="minorHAnsi"/>
                <w:lang w:eastAsia="fr-FR"/>
              </w:rPr>
              <w:t xml:space="preserve"> au </w:t>
            </w:r>
            <w:r w:rsidR="002501B6">
              <w:rPr>
                <w:rFonts w:eastAsia="Times" w:cstheme="minorHAnsi"/>
                <w:b/>
                <w:color w:val="FF66CC"/>
                <w:lang w:eastAsia="fr-FR"/>
              </w:rPr>
              <w:t>musée du Louvre</w:t>
            </w:r>
            <w:r w:rsidR="002501B6">
              <w:rPr>
                <w:rFonts w:eastAsia="Times" w:cstheme="minorHAnsi"/>
                <w:lang w:eastAsia="fr-FR"/>
              </w:rPr>
              <w:t xml:space="preserve"> (passage Richelieu, 75001 Paris) et au</w:t>
            </w:r>
            <w:r w:rsidRPr="003A7D2F">
              <w:rPr>
                <w:rFonts w:eastAsia="Times" w:cstheme="minorHAnsi"/>
                <w:lang w:eastAsia="fr-FR"/>
              </w:rPr>
              <w:t xml:space="preserve"> </w:t>
            </w:r>
            <w:r w:rsidR="002501B6">
              <w:rPr>
                <w:rFonts w:eastAsia="Times" w:cstheme="minorHAnsi"/>
                <w:b/>
                <w:color w:val="FF66CC"/>
                <w:lang w:eastAsia="fr-FR"/>
              </w:rPr>
              <w:t>musée de l’Orangerie</w:t>
            </w:r>
            <w:r w:rsidRPr="003A7D2F">
              <w:rPr>
                <w:rFonts w:eastAsia="Times" w:cstheme="minorHAnsi"/>
                <w:b/>
                <w:lang w:eastAsia="fr-FR"/>
              </w:rPr>
              <w:t xml:space="preserve"> </w:t>
            </w:r>
            <w:r w:rsidR="002501B6">
              <w:rPr>
                <w:rFonts w:eastAsia="Times" w:cstheme="minorHAnsi"/>
                <w:lang w:eastAsia="fr-FR"/>
              </w:rPr>
              <w:t>(jardin des Tuileries, place de la Concorde, 75001 Paris</w:t>
            </w:r>
            <w:r w:rsidRPr="003A7D2F">
              <w:rPr>
                <w:rFonts w:eastAsia="Times" w:cstheme="minorHAnsi"/>
                <w:b/>
                <w:lang w:eastAsia="fr-FR"/>
              </w:rPr>
              <w:t>).</w:t>
            </w:r>
          </w:p>
          <w:p w14:paraId="19293C18" w14:textId="5F60E3A6"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2501B6">
              <w:rPr>
                <w:rFonts w:eastAsia="Times" w:cstheme="minorHAnsi"/>
                <w:b/>
                <w:lang w:eastAsia="fr-FR"/>
              </w:rPr>
              <w:t>Vendredi 05 décembre</w:t>
            </w:r>
            <w:r w:rsidRPr="003A7D2F">
              <w:rPr>
                <w:rFonts w:eastAsia="Times" w:cstheme="minorHAnsi"/>
                <w:b/>
                <w:lang w:eastAsia="fr-FR"/>
              </w:rPr>
              <w:t xml:space="preserve"> 2025 9h30-17h</w:t>
            </w:r>
            <w:r w:rsidR="002501B6">
              <w:rPr>
                <w:rFonts w:eastAsia="Times" w:cstheme="minorHAnsi"/>
                <w:lang w:eastAsia="fr-FR"/>
              </w:rPr>
              <w:t xml:space="preserve"> à la</w:t>
            </w:r>
            <w:r w:rsidRPr="003A7D2F">
              <w:rPr>
                <w:rFonts w:eastAsia="Times" w:cstheme="minorHAnsi"/>
                <w:lang w:eastAsia="fr-FR"/>
              </w:rPr>
              <w:t xml:space="preserve"> </w:t>
            </w:r>
            <w:r w:rsidR="002501B6">
              <w:rPr>
                <w:rFonts w:eastAsia="Times" w:cstheme="minorHAnsi"/>
                <w:b/>
                <w:color w:val="FF66CC"/>
                <w:lang w:eastAsia="fr-FR"/>
              </w:rPr>
              <w:t>Bourse de Commerce – Pinault collection</w:t>
            </w:r>
            <w:r w:rsidR="002501B6">
              <w:rPr>
                <w:rFonts w:eastAsia="Times" w:cstheme="minorHAnsi"/>
                <w:lang w:eastAsia="fr-FR"/>
              </w:rPr>
              <w:t xml:space="preserve"> (2 rue de Viarmes, 75002 Paris) et au</w:t>
            </w:r>
            <w:r w:rsidRPr="003A7D2F">
              <w:rPr>
                <w:rFonts w:eastAsia="Times" w:cstheme="minorHAnsi"/>
                <w:lang w:eastAsia="fr-FR"/>
              </w:rPr>
              <w:t xml:space="preserve"> </w:t>
            </w:r>
            <w:r w:rsidR="002501B6">
              <w:rPr>
                <w:rFonts w:eastAsia="Times" w:cstheme="minorHAnsi"/>
                <w:b/>
                <w:color w:val="FF66CC"/>
                <w:lang w:eastAsia="fr-FR"/>
              </w:rPr>
              <w:t>musée Rodin</w:t>
            </w:r>
            <w:r w:rsidR="00D01051">
              <w:rPr>
                <w:rFonts w:eastAsia="Times" w:cstheme="minorHAnsi"/>
                <w:lang w:eastAsia="fr-FR"/>
              </w:rPr>
              <w:t xml:space="preserve"> </w:t>
            </w:r>
            <w:r w:rsidR="00651D41">
              <w:rPr>
                <w:rFonts w:eastAsia="Times" w:cstheme="minorHAnsi"/>
                <w:lang w:eastAsia="fr-FR"/>
              </w:rPr>
              <w:t>(21 boulevard des Invalides</w:t>
            </w:r>
            <w:r w:rsidRPr="003A7D2F">
              <w:rPr>
                <w:rFonts w:eastAsia="Times" w:cstheme="minorHAnsi"/>
                <w:lang w:eastAsia="fr-FR"/>
              </w:rPr>
              <w:t>,</w:t>
            </w:r>
            <w:r w:rsidR="002501B6">
              <w:rPr>
                <w:rFonts w:eastAsia="Times" w:cstheme="minorHAnsi"/>
                <w:lang w:eastAsia="fr-FR"/>
              </w:rPr>
              <w:t xml:space="preserve"> 75007</w:t>
            </w:r>
            <w:r w:rsidRPr="003A7D2F">
              <w:rPr>
                <w:rFonts w:eastAsia="Times" w:cstheme="minorHAnsi"/>
                <w:lang w:eastAsia="fr-FR"/>
              </w:rPr>
              <w:t xml:space="preserve"> Paris).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29B49A3" w14:textId="77777777" w:rsidR="002501B6" w:rsidRPr="002501B6" w:rsidRDefault="0097551E" w:rsidP="002501B6">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La formation </w:t>
            </w:r>
            <w:r w:rsidR="002501B6" w:rsidRPr="002501B6">
              <w:rPr>
                <w:rFonts w:eastAsia="Times" w:cstheme="minorHAnsi"/>
                <w:lang w:eastAsia="fr-FR"/>
              </w:rPr>
              <w:t xml:space="preserve">mesure l’apport des musées d’art dans les processus d’apprentissage à travers des outils de transmission et de création innovants. Elle permet aux élèves de vivre une expérience artistique et culturelle dans les musées pour qu’ils deviennent acteurs de leur visite. Elle aborde les moyens de développer la sensibilité de tous les élèves dans une rencontre renouvelée avec les œuvres. Elle met en œuvre des projets EAC en partenariat. </w:t>
            </w:r>
          </w:p>
          <w:p w14:paraId="1E0974B6" w14:textId="66C085E2" w:rsidR="0097551E" w:rsidRPr="003A7D2F" w:rsidRDefault="002501B6" w:rsidP="0097551E">
            <w:pPr>
              <w:suppressAutoHyphens/>
              <w:spacing w:before="120" w:after="120" w:line="240" w:lineRule="auto"/>
              <w:jc w:val="both"/>
              <w:rPr>
                <w:rFonts w:eastAsia="Times" w:cstheme="minorHAnsi"/>
                <w:lang w:eastAsia="fr-FR"/>
              </w:rPr>
            </w:pPr>
            <w:r w:rsidRPr="002501B6">
              <w:rPr>
                <w:rFonts w:eastAsia="Times" w:cstheme="minorHAnsi"/>
                <w:b/>
                <w:i/>
                <w:lang w:eastAsia="fr-FR"/>
              </w:rPr>
              <w:t>Thématique annuelle</w:t>
            </w:r>
            <w:r w:rsidRPr="002501B6">
              <w:rPr>
                <w:rFonts w:eastAsia="Times" w:cstheme="minorHAnsi"/>
                <w:lang w:eastAsia="fr-FR"/>
              </w:rPr>
              <w:t> : se réapproprier les musées par l’œuvre ou l’artiste d’aujourd’hui, dialogues contemporains.</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3AB08615" w:rsidR="0097551E" w:rsidRDefault="0097551E" w:rsidP="0097551E">
            <w:pPr>
              <w:rPr>
                <w:b/>
              </w:rPr>
            </w:pPr>
            <w:r>
              <w:rPr>
                <w:b/>
              </w:rPr>
              <w:t>Session 1 :</w:t>
            </w:r>
            <w:r w:rsidR="002501B6">
              <w:rPr>
                <w:b/>
              </w:rPr>
              <w:t xml:space="preserve"> musée du Louvre</w:t>
            </w:r>
          </w:p>
          <w:p w14:paraId="6D27A3AB" w14:textId="20AD33D1" w:rsidR="0097551E" w:rsidRDefault="002501B6" w:rsidP="0097551E">
            <w:pPr>
              <w:rPr>
                <w:b/>
              </w:rPr>
            </w:pPr>
            <w:r>
              <w:rPr>
                <w:b/>
              </w:rPr>
              <w:t>9h15-12</w:t>
            </w:r>
            <w:r w:rsidR="0097551E">
              <w:rPr>
                <w:b/>
              </w:rPr>
              <w:t>h30</w:t>
            </w:r>
          </w:p>
          <w:p w14:paraId="0B4119FD" w14:textId="4585B7DA" w:rsidR="0097551E" w:rsidRPr="00C76DE7" w:rsidRDefault="0097551E" w:rsidP="0097551E">
            <w:pPr>
              <w:rPr>
                <w:sz w:val="20"/>
                <w:szCs w:val="20"/>
              </w:rPr>
            </w:pPr>
            <w:r w:rsidRPr="00C76DE7">
              <w:rPr>
                <w:sz w:val="20"/>
                <w:szCs w:val="20"/>
              </w:rPr>
              <w:t xml:space="preserve">Rdv : </w:t>
            </w:r>
            <w:r w:rsidR="002501B6">
              <w:rPr>
                <w:sz w:val="20"/>
                <w:szCs w:val="20"/>
              </w:rPr>
              <w:t>Passage Richelieu via la rue de Rivoli, entrée des groupes, 75001</w:t>
            </w:r>
            <w:r w:rsidRPr="00C76DE7">
              <w:rPr>
                <w:sz w:val="20"/>
                <w:szCs w:val="20"/>
              </w:rPr>
              <w:t xml:space="preserve"> Paris.</w:t>
            </w:r>
          </w:p>
          <w:p w14:paraId="03532608" w14:textId="4E9357C1" w:rsidR="00C76DE7" w:rsidRPr="00C76DE7" w:rsidRDefault="002501B6" w:rsidP="002501B6">
            <w:pPr>
              <w:rPr>
                <w:i/>
              </w:rPr>
            </w:pPr>
            <w:r>
              <w:rPr>
                <w:b/>
                <w:bCs/>
                <w:i/>
                <w:sz w:val="20"/>
                <w:szCs w:val="20"/>
              </w:rPr>
              <w:t xml:space="preserve">Entrée impérative en groupe : se munir de sa convocation.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97551E">
            <w:pPr>
              <w:spacing w:after="0"/>
              <w:jc w:val="both"/>
              <w:rPr>
                <w:rFonts w:cstheme="minorHAnsi"/>
                <w:b/>
              </w:rPr>
            </w:pPr>
          </w:p>
          <w:p w14:paraId="24DC7E91" w14:textId="77C99496" w:rsidR="0097551E" w:rsidRDefault="002501B6" w:rsidP="002501B6">
            <w:pPr>
              <w:spacing w:after="0" w:line="240" w:lineRule="auto"/>
              <w:rPr>
                <w:b/>
                <w:bCs/>
              </w:rPr>
            </w:pPr>
            <w:r w:rsidRPr="002501B6">
              <w:rPr>
                <w:b/>
                <w:bCs/>
              </w:rPr>
              <w:t>Un musée, des collections p</w:t>
            </w:r>
            <w:r w:rsidR="00900108">
              <w:rPr>
                <w:b/>
                <w:bCs/>
              </w:rPr>
              <w:t>atrimoniales, des décors d’</w:t>
            </w:r>
            <w:r w:rsidRPr="002501B6">
              <w:rPr>
                <w:b/>
                <w:bCs/>
              </w:rPr>
              <w:t>artistes</w:t>
            </w:r>
          </w:p>
          <w:p w14:paraId="1031B0FA" w14:textId="7D709930" w:rsidR="00721D22" w:rsidRPr="00721D22" w:rsidRDefault="00D01051" w:rsidP="00721D22">
            <w:pPr>
              <w:spacing w:after="0" w:line="240" w:lineRule="auto"/>
              <w:jc w:val="both"/>
              <w:rPr>
                <w:b/>
                <w:bCs/>
                <w:i/>
              </w:rPr>
            </w:pPr>
            <w:r>
              <w:rPr>
                <w:b/>
                <w:bCs/>
                <w:i/>
              </w:rPr>
              <w:t>Dans une salle de l’accueil des groupes</w:t>
            </w:r>
          </w:p>
          <w:p w14:paraId="1529852C" w14:textId="38B23D8B" w:rsidR="00721D22" w:rsidRDefault="00721D22" w:rsidP="00721D22">
            <w:pPr>
              <w:spacing w:after="0" w:line="240" w:lineRule="auto"/>
              <w:jc w:val="both"/>
              <w:rPr>
                <w:bCs/>
              </w:rPr>
            </w:pPr>
            <w:r w:rsidRPr="00AF7603">
              <w:rPr>
                <w:bCs/>
              </w:rPr>
              <w:t>Introduction du stage par Sylvain Bory</w:t>
            </w:r>
            <w:r>
              <w:rPr>
                <w:bCs/>
              </w:rPr>
              <w:t>.</w:t>
            </w:r>
          </w:p>
          <w:p w14:paraId="28EFDBAF" w14:textId="31DE146D" w:rsidR="00D01051" w:rsidRDefault="00D01051" w:rsidP="00721D22">
            <w:pPr>
              <w:spacing w:after="0" w:line="240" w:lineRule="auto"/>
              <w:jc w:val="both"/>
              <w:rPr>
                <w:bCs/>
              </w:rPr>
            </w:pPr>
            <w:r>
              <w:rPr>
                <w:bCs/>
              </w:rPr>
              <w:t xml:space="preserve">Mot d’accueil de Laura </w:t>
            </w:r>
            <w:proofErr w:type="spellStart"/>
            <w:r>
              <w:rPr>
                <w:bCs/>
              </w:rPr>
              <w:t>Solaro</w:t>
            </w:r>
            <w:proofErr w:type="spellEnd"/>
            <w:r>
              <w:rPr>
                <w:bCs/>
              </w:rPr>
              <w:t>, adjointe au chef du service éducation, chargée de la programmation et de la conception des formations.</w:t>
            </w:r>
          </w:p>
          <w:p w14:paraId="7A0B2745" w14:textId="77777777" w:rsidR="00721D22" w:rsidRPr="00721D22" w:rsidRDefault="00721D22" w:rsidP="00721D22">
            <w:pPr>
              <w:spacing w:after="0" w:line="240" w:lineRule="auto"/>
              <w:jc w:val="both"/>
              <w:rPr>
                <w:b/>
                <w:bCs/>
                <w:i/>
              </w:rPr>
            </w:pPr>
            <w:r w:rsidRPr="00721D22">
              <w:rPr>
                <w:b/>
                <w:bCs/>
                <w:i/>
              </w:rPr>
              <w:t>Dans les salles du musées</w:t>
            </w:r>
          </w:p>
          <w:p w14:paraId="666FB879" w14:textId="1564ABDD" w:rsidR="00D01051" w:rsidRDefault="00AF7603" w:rsidP="00D01051">
            <w:pPr>
              <w:spacing w:after="0" w:line="240" w:lineRule="auto"/>
              <w:jc w:val="both"/>
              <w:rPr>
                <w:rFonts w:ascii="Calibri" w:eastAsia="Times New Roman" w:hAnsi="Calibri" w:cs="Calibri"/>
                <w:color w:val="1F497D"/>
              </w:rPr>
            </w:pPr>
            <w:r>
              <w:rPr>
                <w:bCs/>
              </w:rPr>
              <w:t xml:space="preserve">Module de formation dans les collections du musée du Louvre et propositions d’activités par Pierre-Hadrien </w:t>
            </w:r>
            <w:proofErr w:type="spellStart"/>
            <w:r>
              <w:rPr>
                <w:bCs/>
              </w:rPr>
              <w:t>Pouloin</w:t>
            </w:r>
            <w:proofErr w:type="spellEnd"/>
            <w:r w:rsidR="00F54149">
              <w:rPr>
                <w:bCs/>
              </w:rPr>
              <w:t>, formateur au musée, autour des</w:t>
            </w:r>
            <w:r w:rsidR="00D01051">
              <w:rPr>
                <w:bCs/>
              </w:rPr>
              <w:t xml:space="preserve"> </w:t>
            </w:r>
            <w:r w:rsidR="00D01051" w:rsidRPr="00D01051">
              <w:rPr>
                <w:b/>
                <w:bCs/>
                <w:i/>
              </w:rPr>
              <w:t xml:space="preserve">décors </w:t>
            </w:r>
            <w:r w:rsidR="00721D22" w:rsidRPr="00D01051">
              <w:rPr>
                <w:b/>
                <w:bCs/>
                <w:i/>
              </w:rPr>
              <w:t>contemporains</w:t>
            </w:r>
            <w:r w:rsidR="00721D22">
              <w:rPr>
                <w:bCs/>
              </w:rPr>
              <w:t>.</w:t>
            </w:r>
            <w:r w:rsidR="00D01051" w:rsidRPr="00D01051">
              <w:rPr>
                <w:rFonts w:ascii="Calibri" w:eastAsia="Times New Roman" w:hAnsi="Calibri" w:cs="Calibri"/>
                <w:color w:val="1F497D"/>
              </w:rPr>
              <w:t xml:space="preserve"> </w:t>
            </w:r>
          </w:p>
          <w:p w14:paraId="4E17207A" w14:textId="3D2242F6" w:rsidR="00D01051" w:rsidRPr="00D01051" w:rsidRDefault="00D01051" w:rsidP="00D01051">
            <w:pPr>
              <w:spacing w:after="0" w:line="240" w:lineRule="auto"/>
              <w:jc w:val="both"/>
              <w:rPr>
                <w:bCs/>
              </w:rPr>
            </w:pPr>
            <w:r w:rsidRPr="00D01051">
              <w:rPr>
                <w:bCs/>
              </w:rPr>
              <w:t>Saviez-vous que l’on peut trouver de l’art contemporain au Louvre ?</w:t>
            </w:r>
          </w:p>
          <w:p w14:paraId="6845C6F4" w14:textId="77777777" w:rsidR="00D01051" w:rsidRPr="00D01051" w:rsidRDefault="00D01051" w:rsidP="00D01051">
            <w:pPr>
              <w:spacing w:after="0" w:line="240" w:lineRule="auto"/>
              <w:jc w:val="both"/>
              <w:rPr>
                <w:bCs/>
              </w:rPr>
            </w:pPr>
            <w:r w:rsidRPr="00D01051">
              <w:rPr>
                <w:bCs/>
              </w:rPr>
              <w:t>Depuis sa création, de grands artistes sont appelés à intervenir pour décorer des espaces emblématiques du Louvre.</w:t>
            </w:r>
          </w:p>
          <w:p w14:paraId="57EE684A" w14:textId="77777777" w:rsidR="00D01051" w:rsidRPr="00D01051" w:rsidRDefault="00D01051" w:rsidP="00D01051">
            <w:pPr>
              <w:spacing w:after="0" w:line="240" w:lineRule="auto"/>
              <w:jc w:val="both"/>
              <w:rPr>
                <w:bCs/>
              </w:rPr>
            </w:pPr>
            <w:r w:rsidRPr="00D01051">
              <w:rPr>
                <w:bCs/>
              </w:rPr>
              <w:t xml:space="preserve">De la peinture monumentale de </w:t>
            </w:r>
            <w:proofErr w:type="spellStart"/>
            <w:r w:rsidRPr="00D01051">
              <w:rPr>
                <w:bCs/>
              </w:rPr>
              <w:t>Cy</w:t>
            </w:r>
            <w:proofErr w:type="spellEnd"/>
            <w:r w:rsidRPr="00D01051">
              <w:rPr>
                <w:bCs/>
              </w:rPr>
              <w:t xml:space="preserve"> </w:t>
            </w:r>
            <w:proofErr w:type="spellStart"/>
            <w:r w:rsidRPr="00D01051">
              <w:rPr>
                <w:bCs/>
              </w:rPr>
              <w:t>Twombly</w:t>
            </w:r>
            <w:proofErr w:type="spellEnd"/>
            <w:r w:rsidRPr="00D01051">
              <w:rPr>
                <w:bCs/>
              </w:rPr>
              <w:t xml:space="preserve"> à la sculpture mobile d’Elias Crespin en passant par les élégants vitraux de François Morellet, les enseignants sont invités à suivre un parcours riche en découvertes, ou l’architecture ancienne rencontre l’art contemporain.</w:t>
            </w:r>
          </w:p>
          <w:p w14:paraId="7023BD11" w14:textId="13EAFB2A" w:rsidR="00D01051" w:rsidRPr="00D01051" w:rsidRDefault="00D01051" w:rsidP="00D01051">
            <w:pPr>
              <w:spacing w:after="0" w:line="240" w:lineRule="auto"/>
              <w:jc w:val="both"/>
              <w:rPr>
                <w:bCs/>
                <w:i/>
              </w:rPr>
            </w:pPr>
            <w:r w:rsidRPr="00D01051">
              <w:rPr>
                <w:bCs/>
                <w:i/>
              </w:rPr>
              <w:t>Objectifs :</w:t>
            </w:r>
          </w:p>
          <w:p w14:paraId="23354298" w14:textId="77777777" w:rsidR="00D01051" w:rsidRDefault="00D01051" w:rsidP="00D01051">
            <w:pPr>
              <w:spacing w:after="0" w:line="240" w:lineRule="auto"/>
              <w:jc w:val="both"/>
              <w:rPr>
                <w:bCs/>
              </w:rPr>
            </w:pPr>
            <w:r>
              <w:rPr>
                <w:bCs/>
              </w:rPr>
              <w:t xml:space="preserve">- </w:t>
            </w:r>
            <w:r w:rsidRPr="00D01051">
              <w:rPr>
                <w:bCs/>
              </w:rPr>
              <w:t>Acquérir des connaissances autour des décors contemporains du palais du Louvre</w:t>
            </w:r>
          </w:p>
          <w:p w14:paraId="2C3C28CA" w14:textId="722CE5C1" w:rsidR="00D01051" w:rsidRPr="00D01051" w:rsidRDefault="00D01051" w:rsidP="00D01051">
            <w:pPr>
              <w:spacing w:after="0" w:line="240" w:lineRule="auto"/>
              <w:jc w:val="both"/>
              <w:rPr>
                <w:bCs/>
              </w:rPr>
            </w:pPr>
            <w:r>
              <w:rPr>
                <w:bCs/>
              </w:rPr>
              <w:t xml:space="preserve">- </w:t>
            </w:r>
            <w:r w:rsidRPr="00D01051">
              <w:rPr>
                <w:bCs/>
              </w:rPr>
              <w:t>Savoir analyser des œuvres contemporaines selon leur nature, supports et spécificités</w:t>
            </w:r>
          </w:p>
          <w:p w14:paraId="1AF58AFA" w14:textId="188E5823" w:rsidR="00D01051" w:rsidRPr="00D01051" w:rsidRDefault="00D01051" w:rsidP="00D01051">
            <w:pPr>
              <w:spacing w:after="0" w:line="240" w:lineRule="auto"/>
              <w:jc w:val="both"/>
              <w:rPr>
                <w:bCs/>
              </w:rPr>
            </w:pPr>
            <w:r>
              <w:rPr>
                <w:bCs/>
              </w:rPr>
              <w:t xml:space="preserve">- </w:t>
            </w:r>
            <w:r w:rsidRPr="00D01051">
              <w:rPr>
                <w:bCs/>
              </w:rPr>
              <w:t>Fai</w:t>
            </w:r>
            <w:r w:rsidR="00A07598">
              <w:rPr>
                <w:bCs/>
              </w:rPr>
              <w:t>re dialoguer l’art contemporain</w:t>
            </w:r>
            <w:r w:rsidRPr="00D01051">
              <w:rPr>
                <w:bCs/>
              </w:rPr>
              <w:t xml:space="preserve"> avec l’architecture du palais</w:t>
            </w:r>
          </w:p>
          <w:p w14:paraId="27E6C4DE" w14:textId="5221FABA" w:rsidR="00721D22" w:rsidRPr="00AF7603" w:rsidRDefault="00721D22" w:rsidP="002501B6">
            <w:pPr>
              <w:spacing w:after="0" w:line="240" w:lineRule="auto"/>
              <w:rPr>
                <w:bCs/>
              </w:rPr>
            </w:pP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2253DAB7" w:rsidR="0097551E" w:rsidRDefault="0097551E" w:rsidP="0097551E">
            <w:pPr>
              <w:rPr>
                <w:b/>
              </w:rPr>
            </w:pPr>
            <w:r>
              <w:rPr>
                <w:b/>
              </w:rPr>
              <w:t>Sess</w:t>
            </w:r>
            <w:r w:rsidR="002501B6">
              <w:rPr>
                <w:b/>
              </w:rPr>
              <w:t>ion 2 : musée de l’Orangerie</w:t>
            </w:r>
          </w:p>
          <w:p w14:paraId="7859BE69" w14:textId="20D398C4" w:rsidR="0097551E" w:rsidRDefault="00AF7603" w:rsidP="0097551E">
            <w:pPr>
              <w:rPr>
                <w:b/>
              </w:rPr>
            </w:pPr>
            <w:r>
              <w:rPr>
                <w:b/>
              </w:rPr>
              <w:t>13</w:t>
            </w:r>
            <w:r w:rsidR="0097551E">
              <w:rPr>
                <w:b/>
              </w:rPr>
              <w:t>h</w:t>
            </w:r>
            <w:r>
              <w:rPr>
                <w:b/>
              </w:rPr>
              <w:t>45</w:t>
            </w:r>
            <w:r w:rsidR="0097551E">
              <w:rPr>
                <w:b/>
              </w:rPr>
              <w:t>-17h</w:t>
            </w:r>
          </w:p>
          <w:p w14:paraId="772384B5" w14:textId="5DFCC5DD" w:rsidR="003A7D2F" w:rsidRPr="00C76DE7" w:rsidRDefault="00AF7603" w:rsidP="00C76DE7">
            <w:pPr>
              <w:rPr>
                <w:b/>
                <w:i/>
                <w:iCs/>
                <w:sz w:val="20"/>
                <w:szCs w:val="20"/>
              </w:rPr>
            </w:pPr>
            <w:r>
              <w:rPr>
                <w:b/>
                <w:i/>
                <w:sz w:val="20"/>
                <w:szCs w:val="20"/>
              </w:rPr>
              <w:t>Rdv </w:t>
            </w:r>
            <w:r w:rsidR="002501B6">
              <w:rPr>
                <w:b/>
                <w:i/>
                <w:sz w:val="20"/>
                <w:szCs w:val="20"/>
              </w:rPr>
              <w:t>devant l’entrée du musée, pour une entrée groupée.</w:t>
            </w:r>
            <w:r w:rsidR="003A7D2F" w:rsidRPr="00C76DE7">
              <w:rPr>
                <w:b/>
                <w:i/>
                <w:iCs/>
                <w:sz w:val="20"/>
                <w:szCs w:val="20"/>
              </w:rPr>
              <w:t xml:space="preserve"> </w:t>
            </w:r>
          </w:p>
          <w:p w14:paraId="0541E23A" w14:textId="769558DA" w:rsidR="0097551E" w:rsidRPr="00C76DE7" w:rsidRDefault="002501B6" w:rsidP="0097551E">
            <w:pPr>
              <w:rPr>
                <w:iCs/>
                <w:sz w:val="20"/>
                <w:szCs w:val="20"/>
              </w:rPr>
            </w:pPr>
            <w:r>
              <w:rPr>
                <w:iCs/>
                <w:sz w:val="20"/>
                <w:szCs w:val="20"/>
              </w:rPr>
              <w:t>Jardin des Tuileries, place de la Concorde, 75001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04E787A" w14:textId="77777777" w:rsidR="00A07598" w:rsidRDefault="00A07598" w:rsidP="00A07598">
            <w:pPr>
              <w:spacing w:after="0"/>
              <w:rPr>
                <w:b/>
                <w:bCs/>
              </w:rPr>
            </w:pPr>
          </w:p>
          <w:p w14:paraId="1FCED009" w14:textId="7CC80400" w:rsidR="00A07598" w:rsidRDefault="002501B6" w:rsidP="00A07598">
            <w:pPr>
              <w:spacing w:after="0"/>
            </w:pPr>
            <w:r>
              <w:rPr>
                <w:b/>
                <w:bCs/>
              </w:rPr>
              <w:t>Un musée, des collections patrimoniales, des invitations aux artistes</w:t>
            </w:r>
            <w:r w:rsidR="00A07598">
              <w:t>.</w:t>
            </w:r>
          </w:p>
          <w:p w14:paraId="6F7F2C7B" w14:textId="3E8B8D1C" w:rsidR="00AF7603" w:rsidRPr="00A07598" w:rsidRDefault="00A07598" w:rsidP="00A07598">
            <w:pPr>
              <w:spacing w:after="0"/>
              <w:rPr>
                <w:b/>
                <w:bCs/>
              </w:rPr>
            </w:pPr>
            <w:r>
              <w:t xml:space="preserve">. </w:t>
            </w:r>
            <w:r w:rsidR="00AF7603" w:rsidRPr="00AF7603">
              <w:t xml:space="preserve">14h00-15h00 Visite guidée des </w:t>
            </w:r>
            <w:r w:rsidR="00AF7603" w:rsidRPr="00AF7603">
              <w:rPr>
                <w:i/>
              </w:rPr>
              <w:t>Nymphéas</w:t>
            </w:r>
            <w:r w:rsidR="00AF7603" w:rsidRPr="00AF7603">
              <w:t xml:space="preserve"> </w:t>
            </w:r>
            <w:r w:rsidR="00AF7603">
              <w:t>de Claude Monet.</w:t>
            </w:r>
          </w:p>
          <w:p w14:paraId="7CDA4F9C" w14:textId="566DCF27" w:rsidR="00AF7603" w:rsidRPr="00AF7603" w:rsidRDefault="00A07598" w:rsidP="00A07598">
            <w:pPr>
              <w:spacing w:after="0"/>
              <w:jc w:val="both"/>
            </w:pPr>
            <w:r>
              <w:t xml:space="preserve">. </w:t>
            </w:r>
            <w:r w:rsidR="00AF7603" w:rsidRPr="00AF7603">
              <w:t xml:space="preserve">15h/15h15 installation en atelier et introduction du programme des </w:t>
            </w:r>
            <w:r w:rsidR="00AF7603" w:rsidRPr="00A07598">
              <w:rPr>
                <w:b/>
                <w:i/>
              </w:rPr>
              <w:t>contrepoints</w:t>
            </w:r>
            <w:r>
              <w:t xml:space="preserve"> dans le</w:t>
            </w:r>
            <w:r w:rsidR="00AF7603">
              <w:t xml:space="preserve"> cadre de la programmation du musée.</w:t>
            </w:r>
            <w:r w:rsidR="00AF7603" w:rsidRPr="00AF7603">
              <w:t xml:space="preserve"> </w:t>
            </w:r>
          </w:p>
          <w:p w14:paraId="5E2D0749" w14:textId="6221FDAC" w:rsidR="00AF7603" w:rsidRPr="00AF7603" w:rsidRDefault="00AF7603" w:rsidP="00A07598">
            <w:pPr>
              <w:spacing w:after="0"/>
              <w:jc w:val="both"/>
            </w:pPr>
            <w:r>
              <w:t xml:space="preserve">. </w:t>
            </w:r>
            <w:r w:rsidRPr="00AF7603">
              <w:t xml:space="preserve">15h15-16h30 Présentation par Michel </w:t>
            </w:r>
            <w:proofErr w:type="spellStart"/>
            <w:r w:rsidRPr="00AF7603">
              <w:t>Pay</w:t>
            </w:r>
            <w:r>
              <w:t>sant</w:t>
            </w:r>
            <w:proofErr w:type="spellEnd"/>
            <w:r>
              <w:t xml:space="preserve"> du contrepoint en cours </w:t>
            </w:r>
            <w:proofErr w:type="gramStart"/>
            <w:r w:rsidR="00A07598">
              <w:t xml:space="preserve">   </w:t>
            </w:r>
            <w:r>
              <w:t>«</w:t>
            </w:r>
            <w:proofErr w:type="gramEnd"/>
            <w:r>
              <w:t xml:space="preserve"> </w:t>
            </w:r>
            <w:r w:rsidR="00651D41">
              <w:rPr>
                <w:i/>
              </w:rPr>
              <w:t xml:space="preserve">Voir </w:t>
            </w:r>
            <w:r w:rsidRPr="00AF7603">
              <w:rPr>
                <w:i/>
              </w:rPr>
              <w:t>Monet</w:t>
            </w:r>
            <w:r>
              <w:t xml:space="preserve"> » </w:t>
            </w:r>
            <w:r w:rsidRPr="00AF7603">
              <w:t>en duo avec Sophie Eloy en charge du programme des contre</w:t>
            </w:r>
            <w:r>
              <w:t xml:space="preserve">points au musée de l’Orangerie </w:t>
            </w:r>
            <w:r w:rsidRPr="00AF7603">
              <w:t>– Échanges</w:t>
            </w:r>
            <w:r w:rsidR="00A07598">
              <w:t>.</w:t>
            </w:r>
            <w:r w:rsidRPr="00AF7603">
              <w:t xml:space="preserve"> </w:t>
            </w:r>
          </w:p>
          <w:p w14:paraId="007D5FDA" w14:textId="476EF42F" w:rsidR="00AF7603" w:rsidRPr="00AF7603" w:rsidRDefault="00AF7603" w:rsidP="00A07598">
            <w:pPr>
              <w:spacing w:after="0"/>
              <w:jc w:val="both"/>
            </w:pPr>
            <w:r>
              <w:t xml:space="preserve">. 16h30-17h00 Présentation des ressources et des </w:t>
            </w:r>
            <w:r w:rsidRPr="00AF7603">
              <w:t>modalités de réservation</w:t>
            </w:r>
            <w:r>
              <w:t xml:space="preserve"> pour les scolaires.</w:t>
            </w:r>
          </w:p>
          <w:p w14:paraId="4B906FA3" w14:textId="57C2E03E" w:rsidR="0097551E" w:rsidRPr="00C76DE7" w:rsidRDefault="00D51926" w:rsidP="00C76DE7">
            <w:hyperlink r:id="rId8" w:history="1">
              <w:r w:rsidR="00AF7603" w:rsidRPr="00AF7603">
                <w:rPr>
                  <w:rStyle w:val="Lienhypertexte"/>
                </w:rPr>
                <w:t xml:space="preserve">Accès au contrepoint de Michel </w:t>
              </w:r>
              <w:proofErr w:type="spellStart"/>
              <w:r w:rsidR="00AF7603" w:rsidRPr="00AF7603">
                <w:rPr>
                  <w:rStyle w:val="Lienhypertexte"/>
                </w:rPr>
                <w:t>Paysant</w:t>
              </w:r>
              <w:proofErr w:type="spellEnd"/>
              <w:r w:rsidR="00AF7603" w:rsidRPr="00AF7603">
                <w:rPr>
                  <w:rStyle w:val="Lienhypertexte"/>
                </w:rPr>
                <w:t xml:space="preserve"> "Voir Monet"</w:t>
              </w:r>
            </w:hyperlink>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69CFFD1" w14:textId="77777777" w:rsidR="00E9777B" w:rsidRDefault="00E9777B" w:rsidP="0097551E">
            <w:pPr>
              <w:rPr>
                <w:b/>
              </w:rPr>
            </w:pPr>
          </w:p>
          <w:p w14:paraId="64ADF3F7" w14:textId="16F9C23B" w:rsidR="0097551E" w:rsidRDefault="002501B6" w:rsidP="0097551E">
            <w:pPr>
              <w:rPr>
                <w:b/>
              </w:rPr>
            </w:pPr>
            <w:r>
              <w:rPr>
                <w:b/>
              </w:rPr>
              <w:t>Session 3 : Bourse de Commerce – Pinault collection</w:t>
            </w:r>
          </w:p>
          <w:p w14:paraId="0998DE7C" w14:textId="77777777" w:rsidR="0097551E" w:rsidRDefault="0097551E" w:rsidP="0097551E">
            <w:pPr>
              <w:rPr>
                <w:b/>
              </w:rPr>
            </w:pPr>
            <w:r>
              <w:rPr>
                <w:b/>
              </w:rPr>
              <w:t>9h30-12h30</w:t>
            </w:r>
          </w:p>
          <w:p w14:paraId="228B75F1" w14:textId="5BC5C59F" w:rsidR="0097551E" w:rsidRPr="00C458DE" w:rsidRDefault="0097551E" w:rsidP="0097551E">
            <w:pPr>
              <w:rPr>
                <w:b/>
                <w:i/>
                <w:sz w:val="20"/>
                <w:szCs w:val="20"/>
              </w:rPr>
            </w:pPr>
            <w:r w:rsidRPr="00C458DE">
              <w:rPr>
                <w:b/>
                <w:i/>
                <w:sz w:val="20"/>
                <w:szCs w:val="20"/>
              </w:rPr>
              <w:t xml:space="preserve">Rdv : </w:t>
            </w:r>
            <w:r w:rsidR="00C458DE" w:rsidRPr="00C458DE">
              <w:rPr>
                <w:b/>
                <w:i/>
                <w:sz w:val="20"/>
                <w:szCs w:val="20"/>
              </w:rPr>
              <w:t xml:space="preserve">10 minutes avant l’horaire </w:t>
            </w:r>
            <w:r w:rsidR="00C458DE">
              <w:rPr>
                <w:b/>
                <w:i/>
                <w:sz w:val="20"/>
                <w:szCs w:val="20"/>
              </w:rPr>
              <w:t>devant l’entrée principale pour une entrée groupée, le musée étant fermée à cette heure.</w:t>
            </w:r>
          </w:p>
          <w:p w14:paraId="40C59EC5" w14:textId="50CDAF7B" w:rsidR="0097551E" w:rsidRPr="004D0341" w:rsidRDefault="00C458DE" w:rsidP="0097551E">
            <w:r>
              <w:t>2 rue de Viarmes, 75002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C8FDBF6" w14:textId="4DB0E083" w:rsidR="0097551E" w:rsidRDefault="0097551E" w:rsidP="0097551E">
            <w:pPr>
              <w:tabs>
                <w:tab w:val="left" w:pos="1395"/>
              </w:tabs>
              <w:spacing w:after="0"/>
              <w:rPr>
                <w:rFonts w:ascii="Arial" w:hAnsi="Arial" w:cs="Arial"/>
                <w:b/>
                <w:sz w:val="20"/>
                <w:szCs w:val="20"/>
              </w:rPr>
            </w:pPr>
          </w:p>
          <w:p w14:paraId="5FE04C40" w14:textId="603C1DE6" w:rsidR="00E9777B" w:rsidRPr="001419C0" w:rsidRDefault="00E9777B" w:rsidP="0097551E">
            <w:pPr>
              <w:tabs>
                <w:tab w:val="left" w:pos="1395"/>
              </w:tabs>
              <w:spacing w:after="0"/>
              <w:rPr>
                <w:rFonts w:cstheme="minorHAnsi"/>
                <w:b/>
              </w:rPr>
            </w:pPr>
            <w:r w:rsidRPr="001419C0">
              <w:rPr>
                <w:rFonts w:cstheme="minorHAnsi"/>
                <w:b/>
              </w:rPr>
              <w:t>Un musée, un bâtiment patrimonial, une collection contemporaine</w:t>
            </w:r>
          </w:p>
          <w:p w14:paraId="2D270B56" w14:textId="2D41E227" w:rsidR="00F70348" w:rsidRPr="001419C0" w:rsidRDefault="00F70348" w:rsidP="0097551E">
            <w:pPr>
              <w:tabs>
                <w:tab w:val="left" w:pos="1395"/>
              </w:tabs>
              <w:spacing w:after="0"/>
              <w:jc w:val="both"/>
              <w:rPr>
                <w:rFonts w:cstheme="minorHAnsi"/>
                <w:b/>
                <w:i/>
                <w:iCs/>
              </w:rPr>
            </w:pPr>
            <w:r w:rsidRPr="001419C0">
              <w:rPr>
                <w:rFonts w:cstheme="minorHAnsi"/>
                <w:b/>
                <w:i/>
                <w:iCs/>
              </w:rPr>
              <w:t>Dans le grand atelier</w:t>
            </w:r>
          </w:p>
          <w:p w14:paraId="5B7ACC0A" w14:textId="77777777" w:rsidR="00AF7603" w:rsidRPr="001419C0" w:rsidRDefault="00AF7603" w:rsidP="0097551E">
            <w:pPr>
              <w:tabs>
                <w:tab w:val="left" w:pos="1395"/>
              </w:tabs>
              <w:spacing w:after="0"/>
              <w:jc w:val="both"/>
              <w:rPr>
                <w:rFonts w:cstheme="minorHAnsi"/>
                <w:iCs/>
              </w:rPr>
            </w:pPr>
            <w:r w:rsidRPr="001419C0">
              <w:rPr>
                <w:rFonts w:cstheme="minorHAnsi"/>
                <w:iCs/>
              </w:rPr>
              <w:t>. 9h30-10h :</w:t>
            </w:r>
            <w:r w:rsidR="00F70348" w:rsidRPr="001419C0">
              <w:rPr>
                <w:rFonts w:cstheme="minorHAnsi"/>
                <w:iCs/>
              </w:rPr>
              <w:t xml:space="preserve"> Présentation de la </w:t>
            </w:r>
            <w:proofErr w:type="spellStart"/>
            <w:r w:rsidR="00F70348" w:rsidRPr="001419C0">
              <w:rPr>
                <w:rFonts w:cstheme="minorHAnsi"/>
                <w:iCs/>
              </w:rPr>
              <w:t>Daac</w:t>
            </w:r>
            <w:proofErr w:type="spellEnd"/>
            <w:r w:rsidR="00F70348" w:rsidRPr="001419C0">
              <w:rPr>
                <w:rFonts w:cstheme="minorHAnsi"/>
                <w:iCs/>
              </w:rPr>
              <w:t xml:space="preserve"> et de l’EAC par Valentin Grimaud, conseiller à la </w:t>
            </w:r>
            <w:proofErr w:type="spellStart"/>
            <w:r w:rsidR="00F70348" w:rsidRPr="001419C0">
              <w:rPr>
                <w:rFonts w:cstheme="minorHAnsi"/>
                <w:iCs/>
              </w:rPr>
              <w:t>Daac</w:t>
            </w:r>
            <w:proofErr w:type="spellEnd"/>
            <w:r w:rsidR="00F70348" w:rsidRPr="001419C0">
              <w:rPr>
                <w:rFonts w:cstheme="minorHAnsi"/>
                <w:iCs/>
              </w:rPr>
              <w:t>.</w:t>
            </w:r>
          </w:p>
          <w:p w14:paraId="77E353C2" w14:textId="03252C99" w:rsidR="00F70348" w:rsidRPr="001419C0" w:rsidRDefault="00F70348" w:rsidP="0097551E">
            <w:pPr>
              <w:tabs>
                <w:tab w:val="left" w:pos="1395"/>
              </w:tabs>
              <w:spacing w:after="0"/>
              <w:jc w:val="both"/>
              <w:rPr>
                <w:rFonts w:cstheme="minorHAnsi"/>
                <w:iCs/>
              </w:rPr>
            </w:pPr>
            <w:r w:rsidRPr="001419C0">
              <w:rPr>
                <w:rFonts w:cstheme="minorHAnsi"/>
                <w:iCs/>
              </w:rPr>
              <w:t xml:space="preserve">. 10h-11h : Intervention d’Estelle d’Almeida, responsable des publics, sur les différentes interventions d’artistes contemporains dans la rotonde du musée, </w:t>
            </w:r>
            <w:r w:rsidR="00A07598">
              <w:rPr>
                <w:rFonts w:cstheme="minorHAnsi"/>
                <w:iCs/>
              </w:rPr>
              <w:t xml:space="preserve">en </w:t>
            </w:r>
            <w:r w:rsidRPr="001419C0">
              <w:rPr>
                <w:rFonts w:cstheme="minorHAnsi"/>
                <w:iCs/>
              </w:rPr>
              <w:t xml:space="preserve">dialogue avec l’architecture de </w:t>
            </w:r>
            <w:proofErr w:type="spellStart"/>
            <w:r w:rsidRPr="001419C0">
              <w:rPr>
                <w:rFonts w:cstheme="minorHAnsi"/>
                <w:iCs/>
              </w:rPr>
              <w:t>Tadao</w:t>
            </w:r>
            <w:proofErr w:type="spellEnd"/>
            <w:r w:rsidRPr="001419C0">
              <w:rPr>
                <w:rFonts w:cstheme="minorHAnsi"/>
                <w:iCs/>
              </w:rPr>
              <w:t xml:space="preserve"> Ando et le bâtiment patrimonial. Présentation des ressources, des actions et </w:t>
            </w:r>
            <w:r w:rsidR="00A07598">
              <w:rPr>
                <w:rFonts w:cstheme="minorHAnsi"/>
                <w:iCs/>
              </w:rPr>
              <w:t>propositions pour les classes ainsi que</w:t>
            </w:r>
            <w:r w:rsidRPr="001419C0">
              <w:rPr>
                <w:rFonts w:cstheme="minorHAnsi"/>
                <w:iCs/>
              </w:rPr>
              <w:t xml:space="preserve"> la manière de faire dialoguer les collections, les espaces et les publics.</w:t>
            </w:r>
          </w:p>
          <w:p w14:paraId="4BDA29B2" w14:textId="179FCB1B" w:rsidR="001419C0" w:rsidRPr="001419C0" w:rsidRDefault="001419C0" w:rsidP="0097551E">
            <w:pPr>
              <w:tabs>
                <w:tab w:val="left" w:pos="1395"/>
              </w:tabs>
              <w:spacing w:after="0"/>
              <w:jc w:val="both"/>
              <w:rPr>
                <w:rFonts w:cstheme="minorHAnsi"/>
                <w:b/>
                <w:i/>
                <w:iCs/>
              </w:rPr>
            </w:pPr>
            <w:r w:rsidRPr="001419C0">
              <w:rPr>
                <w:rFonts w:cstheme="minorHAnsi"/>
                <w:b/>
                <w:i/>
                <w:iCs/>
              </w:rPr>
              <w:t>Dans les espaces d’exposition</w:t>
            </w:r>
          </w:p>
          <w:p w14:paraId="1B54E933" w14:textId="20FD696B" w:rsidR="001419C0" w:rsidRPr="00A07598" w:rsidRDefault="00F70348" w:rsidP="0097551E">
            <w:pPr>
              <w:tabs>
                <w:tab w:val="left" w:pos="1395"/>
              </w:tabs>
              <w:spacing w:after="0"/>
              <w:jc w:val="both"/>
              <w:rPr>
                <w:rFonts w:cstheme="minorHAnsi"/>
                <w:iCs/>
              </w:rPr>
            </w:pPr>
            <w:r w:rsidRPr="001419C0">
              <w:rPr>
                <w:rFonts w:cstheme="minorHAnsi"/>
                <w:iCs/>
              </w:rPr>
              <w:t>.</w:t>
            </w:r>
            <w:r w:rsidR="00D01051">
              <w:rPr>
                <w:rFonts w:cstheme="minorHAnsi"/>
                <w:iCs/>
              </w:rPr>
              <w:t xml:space="preserve"> </w:t>
            </w:r>
            <w:r w:rsidRPr="001419C0">
              <w:rPr>
                <w:rFonts w:cstheme="minorHAnsi"/>
                <w:iCs/>
              </w:rPr>
              <w:t xml:space="preserve">11h15-12h30 : visite de l’exposition </w:t>
            </w:r>
            <w:r w:rsidRPr="001419C0">
              <w:rPr>
                <w:rFonts w:cstheme="minorHAnsi"/>
                <w:i/>
                <w:iCs/>
              </w:rPr>
              <w:t>Minimal</w:t>
            </w:r>
            <w:r w:rsidRPr="001419C0">
              <w:rPr>
                <w:rFonts w:cstheme="minorHAnsi"/>
                <w:iCs/>
              </w:rPr>
              <w:t xml:space="preserve"> sous la thématique « On est où ? »</w:t>
            </w:r>
            <w:r w:rsidR="001419C0" w:rsidRPr="001419C0">
              <w:rPr>
                <w:rFonts w:cstheme="minorHAnsi"/>
                <w:iCs/>
              </w:rPr>
              <w:t xml:space="preserve"> : Cette visite vous invite à découvrir le fonctionnement d’un musée et ses différents métiers, à mieux comprendre les étapes de préparation d’une </w:t>
            </w:r>
            <w:r w:rsidR="00A07598">
              <w:rPr>
                <w:rFonts w:cstheme="minorHAnsi"/>
                <w:iCs/>
              </w:rPr>
              <w:t xml:space="preserve">exposition et la vie des œuvres - </w:t>
            </w:r>
            <w:hyperlink r:id="rId9" w:history="1">
              <w:r w:rsidR="001419C0" w:rsidRPr="001419C0">
                <w:rPr>
                  <w:rStyle w:val="Lienhypertexte"/>
                  <w:rFonts w:cstheme="minorHAnsi"/>
                  <w:iCs/>
                </w:rPr>
                <w:t>Accès à l'exposition Minimal</w:t>
              </w:r>
            </w:hyperlink>
            <w:r w:rsidR="001419C0">
              <w:rPr>
                <w:rFonts w:ascii="Arial" w:hAnsi="Arial" w:cs="Arial"/>
                <w:iCs/>
                <w:sz w:val="20"/>
                <w:szCs w:val="20"/>
              </w:rPr>
              <w:t xml:space="preserve"> </w:t>
            </w:r>
          </w:p>
          <w:p w14:paraId="7868B66B" w14:textId="75C4D60F" w:rsidR="001419C0" w:rsidRPr="00126E40" w:rsidRDefault="001419C0" w:rsidP="0097551E">
            <w:pPr>
              <w:tabs>
                <w:tab w:val="left" w:pos="1395"/>
              </w:tabs>
              <w:spacing w:after="0"/>
              <w:jc w:val="both"/>
              <w:rPr>
                <w:rFonts w:ascii="Arial" w:hAnsi="Arial" w:cs="Arial"/>
                <w:iCs/>
                <w:sz w:val="20"/>
                <w:szCs w:val="20"/>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165D1C24" w14:textId="35960D15" w:rsidR="0097551E" w:rsidRDefault="0097551E" w:rsidP="0097551E">
            <w:pPr>
              <w:rPr>
                <w:b/>
              </w:rPr>
            </w:pPr>
            <w:r>
              <w:rPr>
                <w:b/>
              </w:rPr>
              <w:t>Ses</w:t>
            </w:r>
            <w:r w:rsidR="00C458DE">
              <w:rPr>
                <w:b/>
              </w:rPr>
              <w:t>sion 4 : Musée Rodin</w:t>
            </w:r>
          </w:p>
          <w:p w14:paraId="255C105F" w14:textId="77777777" w:rsidR="0097551E" w:rsidRDefault="0097551E" w:rsidP="0097551E">
            <w:pPr>
              <w:rPr>
                <w:b/>
              </w:rPr>
            </w:pPr>
            <w:r>
              <w:rPr>
                <w:b/>
              </w:rPr>
              <w:t>14h-17h</w:t>
            </w:r>
          </w:p>
          <w:p w14:paraId="0F32B31F" w14:textId="28EAE35F" w:rsidR="0097551E" w:rsidRPr="000F19FD" w:rsidRDefault="0097551E" w:rsidP="0097551E">
            <w:pPr>
              <w:rPr>
                <w:b/>
                <w:i/>
                <w:sz w:val="20"/>
                <w:szCs w:val="20"/>
              </w:rPr>
            </w:pPr>
            <w:r w:rsidRPr="000F19FD">
              <w:rPr>
                <w:b/>
                <w:i/>
                <w:sz w:val="20"/>
                <w:szCs w:val="20"/>
              </w:rPr>
              <w:t xml:space="preserve">Rdv : </w:t>
            </w:r>
            <w:r w:rsidR="00C458DE" w:rsidRPr="000F19FD">
              <w:rPr>
                <w:b/>
                <w:i/>
                <w:sz w:val="20"/>
                <w:szCs w:val="20"/>
              </w:rPr>
              <w:t>devant l’entrée</w:t>
            </w:r>
            <w:r w:rsidR="000F19FD" w:rsidRPr="000F19FD">
              <w:rPr>
                <w:b/>
                <w:i/>
                <w:sz w:val="20"/>
                <w:szCs w:val="20"/>
              </w:rPr>
              <w:t xml:space="preserve"> de l’auditorium.</w:t>
            </w:r>
          </w:p>
          <w:p w14:paraId="679DFE6F" w14:textId="555AE283" w:rsidR="0097551E" w:rsidRPr="00553D8F" w:rsidRDefault="00651D41" w:rsidP="0097551E">
            <w:r>
              <w:t>21 boulevard des Invalides</w:t>
            </w:r>
            <w:r w:rsidR="000F19FD">
              <w:t>, 75007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45F6DB4" w14:textId="06CB0AAE" w:rsidR="0097551E" w:rsidRPr="00600A42" w:rsidRDefault="0097551E" w:rsidP="0097551E">
            <w:pPr>
              <w:spacing w:after="0"/>
              <w:jc w:val="both"/>
              <w:rPr>
                <w:rFonts w:ascii="Arial" w:hAnsi="Arial" w:cs="Arial"/>
                <w:sz w:val="20"/>
                <w:szCs w:val="20"/>
              </w:rPr>
            </w:pPr>
          </w:p>
          <w:p w14:paraId="176F2987" w14:textId="1FFFF618" w:rsidR="00E9777B" w:rsidRPr="00E9777B" w:rsidRDefault="00E9777B" w:rsidP="00AA6069">
            <w:pPr>
              <w:spacing w:after="0"/>
              <w:jc w:val="both"/>
              <w:rPr>
                <w:b/>
              </w:rPr>
            </w:pPr>
            <w:r w:rsidRPr="00E9777B">
              <w:rPr>
                <w:b/>
              </w:rPr>
              <w:t>Un musée, des collections p</w:t>
            </w:r>
            <w:r>
              <w:rPr>
                <w:b/>
              </w:rPr>
              <w:t>atrimoniales,</w:t>
            </w:r>
            <w:r w:rsidRPr="00E9777B">
              <w:rPr>
                <w:b/>
              </w:rPr>
              <w:t xml:space="preserve"> d</w:t>
            </w:r>
            <w:r>
              <w:rPr>
                <w:b/>
              </w:rPr>
              <w:t xml:space="preserve">es projets pour/avec des </w:t>
            </w:r>
            <w:r w:rsidRPr="00E9777B">
              <w:rPr>
                <w:b/>
              </w:rPr>
              <w:t>artistes</w:t>
            </w:r>
          </w:p>
          <w:p w14:paraId="31C007CD" w14:textId="084DD71B" w:rsidR="001419C0" w:rsidRPr="001419C0" w:rsidRDefault="001419C0" w:rsidP="00AA6069">
            <w:pPr>
              <w:spacing w:after="0"/>
              <w:jc w:val="both"/>
              <w:rPr>
                <w:b/>
                <w:i/>
              </w:rPr>
            </w:pPr>
            <w:r w:rsidRPr="001419C0">
              <w:rPr>
                <w:b/>
                <w:i/>
              </w:rPr>
              <w:t>Dans l’auditorium</w:t>
            </w:r>
          </w:p>
          <w:p w14:paraId="6A5D9231" w14:textId="1DC01EA1" w:rsidR="00EF7554" w:rsidRDefault="00651D41" w:rsidP="00AA6069">
            <w:pPr>
              <w:spacing w:after="0"/>
              <w:jc w:val="both"/>
            </w:pPr>
            <w:r>
              <w:t>. 14h-15h30</w:t>
            </w:r>
            <w:r w:rsidR="00EF7554">
              <w:t xml:space="preserve"> : </w:t>
            </w:r>
            <w:r>
              <w:t>p</w:t>
            </w:r>
            <w:r w:rsidR="001419C0">
              <w:t>résentation à deux voix</w:t>
            </w:r>
            <w:r w:rsidR="00EF7554">
              <w:t xml:space="preserve"> du musée</w:t>
            </w:r>
            <w:r w:rsidR="00A07598">
              <w:t>, du service éducatif et des visites scolaires</w:t>
            </w:r>
            <w:r w:rsidR="00EF7554">
              <w:t xml:space="preserve"> avec Estelle Guichard, responsable des publics et Laura Fernandez, professeure relais.</w:t>
            </w:r>
          </w:p>
          <w:p w14:paraId="27603028" w14:textId="7EC14BF6" w:rsidR="00EF7554" w:rsidRPr="00EF7554" w:rsidRDefault="00EF7554" w:rsidP="00EF7554">
            <w:pPr>
              <w:spacing w:after="0"/>
              <w:jc w:val="both"/>
              <w:rPr>
                <w:i/>
              </w:rPr>
            </w:pPr>
            <w:r w:rsidRPr="00EF7554">
              <w:rPr>
                <w:i/>
              </w:rPr>
              <w:t>Comment la pratique contemporaine dialogue-t-elle avec les œuvres d'Auguste Rodin? </w:t>
            </w:r>
          </w:p>
          <w:p w14:paraId="7A190045" w14:textId="6E63D071" w:rsidR="00EF7554" w:rsidRPr="00EF7554" w:rsidRDefault="00EF7554" w:rsidP="00EF7554">
            <w:pPr>
              <w:spacing w:after="0"/>
              <w:jc w:val="both"/>
            </w:pPr>
            <w:r>
              <w:t xml:space="preserve">1. </w:t>
            </w:r>
            <w:r w:rsidRPr="00EF7554">
              <w:t xml:space="preserve"> Les liens entre le musée e</w:t>
            </w:r>
            <w:r>
              <w:t>t la création contemporaine à travers</w:t>
            </w:r>
            <w:r w:rsidRPr="00EF7554">
              <w:t xml:space="preserve"> les expositions et interventions</w:t>
            </w:r>
            <w:r>
              <w:t xml:space="preserve"> d’artistes au musée / les décors contemporains au musée</w:t>
            </w:r>
            <w:r w:rsidR="00A07598">
              <w:t>.</w:t>
            </w:r>
          </w:p>
          <w:p w14:paraId="5A7B0521" w14:textId="5FC79FE4" w:rsidR="00EF7554" w:rsidRPr="00EF7554" w:rsidRDefault="00EF7554" w:rsidP="00EF7554">
            <w:pPr>
              <w:spacing w:after="0"/>
              <w:jc w:val="both"/>
            </w:pPr>
            <w:r>
              <w:t xml:space="preserve">2. </w:t>
            </w:r>
            <w:r w:rsidRPr="00EF7554">
              <w:t>Les projets EAC faisant intervenir des artistes</w:t>
            </w:r>
            <w:r>
              <w:t xml:space="preserve"> contemporains avec les élèves : « </w:t>
            </w:r>
            <w:r w:rsidRPr="00EF7554">
              <w:t>Danser Rodin</w:t>
            </w:r>
            <w:r>
              <w:t> »</w:t>
            </w:r>
            <w:r w:rsidR="00A07598">
              <w:t xml:space="preserve"> (photographe, danseur</w:t>
            </w:r>
            <w:r>
              <w:t>), « </w:t>
            </w:r>
            <w:proofErr w:type="spellStart"/>
            <w:r w:rsidRPr="00EF7554">
              <w:t>Gormley</w:t>
            </w:r>
            <w:proofErr w:type="spellEnd"/>
            <w:r>
              <w:t> »</w:t>
            </w:r>
            <w:r w:rsidRPr="00EF7554">
              <w:t xml:space="preserve"> (artiste design graphique)</w:t>
            </w:r>
            <w:r>
              <w:t>, « </w:t>
            </w:r>
            <w:r w:rsidRPr="00EF7554">
              <w:t xml:space="preserve">Corps </w:t>
            </w:r>
            <w:proofErr w:type="spellStart"/>
            <w:proofErr w:type="gramStart"/>
            <w:r w:rsidRPr="00EF7554">
              <w:t>In.Visible</w:t>
            </w:r>
            <w:proofErr w:type="spellEnd"/>
            <w:proofErr w:type="gramEnd"/>
            <w:r>
              <w:t> » (sculpteur, artiste textile).</w:t>
            </w:r>
          </w:p>
          <w:p w14:paraId="3E03BE17" w14:textId="620761F7" w:rsidR="00EF7554" w:rsidRPr="00AA6069" w:rsidRDefault="00EF7554" w:rsidP="00EF7554">
            <w:pPr>
              <w:spacing w:after="0"/>
              <w:jc w:val="both"/>
            </w:pPr>
            <w:r>
              <w:t>- Conclusion de la formation (prolongements possibles) par Sylvain Bory.</w:t>
            </w:r>
          </w:p>
          <w:p w14:paraId="3C80BBA0" w14:textId="1C2269FD" w:rsidR="00EF7554" w:rsidRPr="001419C0" w:rsidRDefault="001419C0" w:rsidP="00EF7554">
            <w:pPr>
              <w:spacing w:after="0"/>
              <w:jc w:val="both"/>
              <w:rPr>
                <w:b/>
                <w:i/>
              </w:rPr>
            </w:pPr>
            <w:r w:rsidRPr="001419C0">
              <w:rPr>
                <w:b/>
                <w:i/>
              </w:rPr>
              <w:t>Dans l’hôtel Biron (musée)</w:t>
            </w:r>
          </w:p>
          <w:p w14:paraId="0EB1DE32" w14:textId="05BDDF75" w:rsidR="001419C0" w:rsidRPr="00EF7554" w:rsidRDefault="00EF7554" w:rsidP="00EF7554">
            <w:pPr>
              <w:spacing w:after="0"/>
              <w:jc w:val="both"/>
            </w:pPr>
            <w:r>
              <w:t>. 15h30-17h : Visi</w:t>
            </w:r>
            <w:r w:rsidR="001419C0">
              <w:t>te des collections du musée</w:t>
            </w:r>
            <w:r w:rsidR="00651D41">
              <w:t xml:space="preserve"> (introduction</w:t>
            </w:r>
            <w:r>
              <w:t xml:space="preserve"> puis</w:t>
            </w:r>
            <w:r w:rsidR="00651D41">
              <w:t xml:space="preserve"> visite</w:t>
            </w:r>
            <w:r w:rsidR="00A07598">
              <w:t xml:space="preserve"> libre) - </w:t>
            </w:r>
            <w:bookmarkStart w:id="0" w:name="_GoBack"/>
            <w:bookmarkEnd w:id="0"/>
            <w:r w:rsidR="00D51926">
              <w:fldChar w:fldCharType="begin"/>
            </w:r>
            <w:r w:rsidR="00D51926">
              <w:instrText xml:space="preserve"> HYPERLINK "https://www.musee-rodin.fr/education/education-artistique-et-culturelle/scolaires" </w:instrText>
            </w:r>
            <w:r w:rsidR="00D51926">
              <w:fldChar w:fldCharType="separate"/>
            </w:r>
            <w:r w:rsidR="001419C0">
              <w:rPr>
                <w:rStyle w:val="Lienhypertexte"/>
              </w:rPr>
              <w:t>Accès aux projets EAC menés par le musée Rodin</w:t>
            </w:r>
            <w:r w:rsidR="00D51926">
              <w:rPr>
                <w:rStyle w:val="Lienhypertexte"/>
              </w:rPr>
              <w:fldChar w:fldCharType="end"/>
            </w:r>
            <w:r w:rsidR="001419C0">
              <w:t xml:space="preserve"> </w:t>
            </w:r>
          </w:p>
          <w:p w14:paraId="3336CC94" w14:textId="55BD2E9D" w:rsidR="0097551E" w:rsidRDefault="0097551E" w:rsidP="00EF7554">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1419C0" w:rsidRDefault="0097551E" w:rsidP="0097551E">
            <w:pPr>
              <w:suppressAutoHyphens/>
              <w:spacing w:before="120" w:after="120" w:line="240" w:lineRule="auto"/>
              <w:rPr>
                <w:rFonts w:eastAsia="Times" w:cstheme="minorHAnsi"/>
                <w:b/>
                <w:lang w:eastAsia="fr-FR"/>
              </w:rPr>
            </w:pPr>
            <w:r w:rsidRPr="001419C0">
              <w:rPr>
                <w:rFonts w:eastAsia="Times" w:cstheme="minorHAnsi"/>
                <w:b/>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0E3A5FF1" w:rsidR="0097551E" w:rsidRPr="001419C0" w:rsidRDefault="00AA6069" w:rsidP="0097551E">
            <w:pPr>
              <w:suppressAutoHyphens/>
              <w:spacing w:before="120" w:after="120" w:line="240" w:lineRule="auto"/>
              <w:jc w:val="both"/>
              <w:rPr>
                <w:rFonts w:eastAsia="Times" w:cstheme="minorHAnsi"/>
                <w:lang w:eastAsia="fr-FR"/>
              </w:rPr>
            </w:pPr>
            <w:r w:rsidRPr="001419C0">
              <w:rPr>
                <w:rFonts w:eastAsia="Times" w:cstheme="minorHAnsi"/>
                <w:lang w:eastAsia="fr-FR"/>
              </w:rPr>
              <w:t xml:space="preserve"> </w:t>
            </w:r>
            <w:hyperlink r:id="rId10" w:history="1">
              <w:r w:rsidR="00E9777B" w:rsidRPr="001419C0">
                <w:rPr>
                  <w:rStyle w:val="Lienhypertexte"/>
                  <w:rFonts w:eastAsia="Times" w:cstheme="minorHAnsi"/>
                  <w:lang w:eastAsia="fr-FR"/>
                </w:rPr>
                <w:t>Plateforme de ressources arts visuels dédiée aux musées</w:t>
              </w:r>
            </w:hyperlink>
            <w:r w:rsidR="00E9777B" w:rsidRPr="001419C0">
              <w:rPr>
                <w:rFonts w:eastAsia="Times" w:cstheme="minorHAnsi"/>
                <w:lang w:eastAsia="fr-FR"/>
              </w:rPr>
              <w:t xml:space="preserve"> </w:t>
            </w:r>
          </w:p>
        </w:tc>
      </w:tr>
    </w:tbl>
    <w:p w14:paraId="2333E3C3" w14:textId="65E51195" w:rsidR="006C4AED" w:rsidRDefault="006C4AED"/>
    <w:sectPr w:rsidR="006C4AED" w:rsidSect="00E35971">
      <w:headerReference w:type="default" r:id="rId11"/>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3605D" w14:textId="77777777" w:rsidR="00D51926" w:rsidRDefault="00D51926" w:rsidP="008E7F5E">
      <w:pPr>
        <w:spacing w:after="0" w:line="240" w:lineRule="auto"/>
      </w:pPr>
      <w:r>
        <w:separator/>
      </w:r>
    </w:p>
  </w:endnote>
  <w:endnote w:type="continuationSeparator" w:id="0">
    <w:p w14:paraId="290A32FB" w14:textId="77777777" w:rsidR="00D51926" w:rsidRDefault="00D51926"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4E24C" w14:textId="77777777" w:rsidR="00D51926" w:rsidRDefault="00D51926" w:rsidP="008E7F5E">
      <w:pPr>
        <w:spacing w:after="0" w:line="240" w:lineRule="auto"/>
      </w:pPr>
      <w:r>
        <w:separator/>
      </w:r>
    </w:p>
  </w:footnote>
  <w:footnote w:type="continuationSeparator" w:id="0">
    <w:p w14:paraId="34CEA73F" w14:textId="77777777" w:rsidR="00D51926" w:rsidRDefault="00D51926"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0F19FD"/>
    <w:rsid w:val="00126E40"/>
    <w:rsid w:val="001419C0"/>
    <w:rsid w:val="00150724"/>
    <w:rsid w:val="001632FA"/>
    <w:rsid w:val="00224552"/>
    <w:rsid w:val="002501B6"/>
    <w:rsid w:val="002B5910"/>
    <w:rsid w:val="002C652D"/>
    <w:rsid w:val="00332089"/>
    <w:rsid w:val="003A7D2F"/>
    <w:rsid w:val="00440DC8"/>
    <w:rsid w:val="004D0341"/>
    <w:rsid w:val="00553D8F"/>
    <w:rsid w:val="005964B3"/>
    <w:rsid w:val="005975B6"/>
    <w:rsid w:val="005A2748"/>
    <w:rsid w:val="005D1990"/>
    <w:rsid w:val="00600A42"/>
    <w:rsid w:val="00613905"/>
    <w:rsid w:val="00625B04"/>
    <w:rsid w:val="00651D41"/>
    <w:rsid w:val="006C4AED"/>
    <w:rsid w:val="00721D22"/>
    <w:rsid w:val="00737517"/>
    <w:rsid w:val="00742021"/>
    <w:rsid w:val="007A73ED"/>
    <w:rsid w:val="007B1A04"/>
    <w:rsid w:val="008E602D"/>
    <w:rsid w:val="008E7F5E"/>
    <w:rsid w:val="00900108"/>
    <w:rsid w:val="00954306"/>
    <w:rsid w:val="0097551E"/>
    <w:rsid w:val="009D3E36"/>
    <w:rsid w:val="009E5EDC"/>
    <w:rsid w:val="00A03061"/>
    <w:rsid w:val="00A07598"/>
    <w:rsid w:val="00A75DC4"/>
    <w:rsid w:val="00AA6069"/>
    <w:rsid w:val="00AF7603"/>
    <w:rsid w:val="00B20923"/>
    <w:rsid w:val="00B42CE2"/>
    <w:rsid w:val="00B47707"/>
    <w:rsid w:val="00BB0184"/>
    <w:rsid w:val="00BC751B"/>
    <w:rsid w:val="00C34849"/>
    <w:rsid w:val="00C458DE"/>
    <w:rsid w:val="00C72559"/>
    <w:rsid w:val="00C7338F"/>
    <w:rsid w:val="00C76DE7"/>
    <w:rsid w:val="00D01051"/>
    <w:rsid w:val="00D44FDB"/>
    <w:rsid w:val="00D51926"/>
    <w:rsid w:val="00D947AE"/>
    <w:rsid w:val="00DA11BD"/>
    <w:rsid w:val="00DD3BE0"/>
    <w:rsid w:val="00E35971"/>
    <w:rsid w:val="00E44318"/>
    <w:rsid w:val="00E9777B"/>
    <w:rsid w:val="00EB259E"/>
    <w:rsid w:val="00EF14E5"/>
    <w:rsid w:val="00EF7554"/>
    <w:rsid w:val="00F309C9"/>
    <w:rsid w:val="00F406E9"/>
    <w:rsid w:val="00F46A81"/>
    <w:rsid w:val="00F54149"/>
    <w:rsid w:val="00F70348"/>
    <w:rsid w:val="00F8499D"/>
    <w:rsid w:val="00F85FC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250164098">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255936616">
      <w:bodyDiv w:val="1"/>
      <w:marLeft w:val="0"/>
      <w:marRight w:val="0"/>
      <w:marTop w:val="0"/>
      <w:marBottom w:val="0"/>
      <w:divBdr>
        <w:top w:val="none" w:sz="0" w:space="0" w:color="auto"/>
        <w:left w:val="none" w:sz="0" w:space="0" w:color="auto"/>
        <w:bottom w:val="none" w:sz="0" w:space="0" w:color="auto"/>
        <w:right w:val="none" w:sz="0" w:space="0" w:color="auto"/>
      </w:divBdr>
      <w:divsChild>
        <w:div w:id="1492716343">
          <w:marLeft w:val="0"/>
          <w:marRight w:val="0"/>
          <w:marTop w:val="0"/>
          <w:marBottom w:val="0"/>
          <w:divBdr>
            <w:top w:val="none" w:sz="0" w:space="0" w:color="auto"/>
            <w:left w:val="none" w:sz="0" w:space="0" w:color="auto"/>
            <w:bottom w:val="none" w:sz="0" w:space="0" w:color="auto"/>
            <w:right w:val="none" w:sz="0" w:space="0" w:color="auto"/>
          </w:divBdr>
        </w:div>
        <w:div w:id="1309944953">
          <w:marLeft w:val="0"/>
          <w:marRight w:val="0"/>
          <w:marTop w:val="0"/>
          <w:marBottom w:val="0"/>
          <w:divBdr>
            <w:top w:val="none" w:sz="0" w:space="0" w:color="auto"/>
            <w:left w:val="none" w:sz="0" w:space="0" w:color="auto"/>
            <w:bottom w:val="none" w:sz="0" w:space="0" w:color="auto"/>
            <w:right w:val="none" w:sz="0" w:space="0" w:color="auto"/>
          </w:divBdr>
        </w:div>
        <w:div w:id="710229552">
          <w:marLeft w:val="0"/>
          <w:marRight w:val="0"/>
          <w:marTop w:val="0"/>
          <w:marBottom w:val="0"/>
          <w:divBdr>
            <w:top w:val="none" w:sz="0" w:space="0" w:color="auto"/>
            <w:left w:val="none" w:sz="0" w:space="0" w:color="auto"/>
            <w:bottom w:val="none" w:sz="0" w:space="0" w:color="auto"/>
            <w:right w:val="none" w:sz="0" w:space="0" w:color="auto"/>
          </w:divBdr>
        </w:div>
        <w:div w:id="1493912309">
          <w:marLeft w:val="0"/>
          <w:marRight w:val="0"/>
          <w:marTop w:val="0"/>
          <w:marBottom w:val="0"/>
          <w:divBdr>
            <w:top w:val="none" w:sz="0" w:space="0" w:color="auto"/>
            <w:left w:val="none" w:sz="0" w:space="0" w:color="auto"/>
            <w:bottom w:val="none" w:sz="0" w:space="0" w:color="auto"/>
            <w:right w:val="none" w:sz="0" w:space="0" w:color="auto"/>
          </w:divBdr>
        </w:div>
        <w:div w:id="1122531707">
          <w:marLeft w:val="0"/>
          <w:marRight w:val="0"/>
          <w:marTop w:val="0"/>
          <w:marBottom w:val="0"/>
          <w:divBdr>
            <w:top w:val="none" w:sz="0" w:space="0" w:color="auto"/>
            <w:left w:val="none" w:sz="0" w:space="0" w:color="auto"/>
            <w:bottom w:val="none" w:sz="0" w:space="0" w:color="auto"/>
            <w:right w:val="none" w:sz="0" w:space="0" w:color="auto"/>
          </w:divBdr>
        </w:div>
        <w:div w:id="15623441">
          <w:marLeft w:val="0"/>
          <w:marRight w:val="0"/>
          <w:marTop w:val="0"/>
          <w:marBottom w:val="0"/>
          <w:divBdr>
            <w:top w:val="none" w:sz="0" w:space="0" w:color="auto"/>
            <w:left w:val="none" w:sz="0" w:space="0" w:color="auto"/>
            <w:bottom w:val="none" w:sz="0" w:space="0" w:color="auto"/>
            <w:right w:val="none" w:sz="0" w:space="0" w:color="auto"/>
          </w:divBdr>
        </w:div>
        <w:div w:id="1518034707">
          <w:marLeft w:val="0"/>
          <w:marRight w:val="0"/>
          <w:marTop w:val="0"/>
          <w:marBottom w:val="0"/>
          <w:divBdr>
            <w:top w:val="none" w:sz="0" w:space="0" w:color="auto"/>
            <w:left w:val="none" w:sz="0" w:space="0" w:color="auto"/>
            <w:bottom w:val="none" w:sz="0" w:space="0" w:color="auto"/>
            <w:right w:val="none" w:sz="0" w:space="0" w:color="auto"/>
          </w:divBdr>
        </w:div>
        <w:div w:id="1862667864">
          <w:marLeft w:val="0"/>
          <w:marRight w:val="0"/>
          <w:marTop w:val="0"/>
          <w:marBottom w:val="0"/>
          <w:divBdr>
            <w:top w:val="none" w:sz="0" w:space="0" w:color="auto"/>
            <w:left w:val="none" w:sz="0" w:space="0" w:color="auto"/>
            <w:bottom w:val="none" w:sz="0" w:space="0" w:color="auto"/>
            <w:right w:val="none" w:sz="0" w:space="0" w:color="auto"/>
          </w:divBdr>
        </w:div>
        <w:div w:id="1317997696">
          <w:marLeft w:val="0"/>
          <w:marRight w:val="0"/>
          <w:marTop w:val="0"/>
          <w:marBottom w:val="0"/>
          <w:divBdr>
            <w:top w:val="none" w:sz="0" w:space="0" w:color="auto"/>
            <w:left w:val="none" w:sz="0" w:space="0" w:color="auto"/>
            <w:bottom w:val="none" w:sz="0" w:space="0" w:color="auto"/>
            <w:right w:val="none" w:sz="0" w:space="0" w:color="auto"/>
          </w:divBdr>
        </w:div>
        <w:div w:id="63458263">
          <w:marLeft w:val="0"/>
          <w:marRight w:val="0"/>
          <w:marTop w:val="0"/>
          <w:marBottom w:val="0"/>
          <w:divBdr>
            <w:top w:val="none" w:sz="0" w:space="0" w:color="auto"/>
            <w:left w:val="none" w:sz="0" w:space="0" w:color="auto"/>
            <w:bottom w:val="none" w:sz="0" w:space="0" w:color="auto"/>
            <w:right w:val="none" w:sz="0" w:space="0" w:color="auto"/>
          </w:divBdr>
        </w:div>
        <w:div w:id="48306085">
          <w:marLeft w:val="0"/>
          <w:marRight w:val="0"/>
          <w:marTop w:val="0"/>
          <w:marBottom w:val="0"/>
          <w:divBdr>
            <w:top w:val="none" w:sz="0" w:space="0" w:color="auto"/>
            <w:left w:val="none" w:sz="0" w:space="0" w:color="auto"/>
            <w:bottom w:val="none" w:sz="0" w:space="0" w:color="auto"/>
            <w:right w:val="none" w:sz="0" w:space="0" w:color="auto"/>
          </w:divBdr>
        </w:div>
        <w:div w:id="478379682">
          <w:marLeft w:val="0"/>
          <w:marRight w:val="0"/>
          <w:marTop w:val="0"/>
          <w:marBottom w:val="0"/>
          <w:divBdr>
            <w:top w:val="none" w:sz="0" w:space="0" w:color="auto"/>
            <w:left w:val="none" w:sz="0" w:space="0" w:color="auto"/>
            <w:bottom w:val="none" w:sz="0" w:space="0" w:color="auto"/>
            <w:right w:val="none" w:sz="0" w:space="0" w:color="auto"/>
          </w:divBdr>
        </w:div>
        <w:div w:id="670647984">
          <w:marLeft w:val="0"/>
          <w:marRight w:val="0"/>
          <w:marTop w:val="0"/>
          <w:marBottom w:val="0"/>
          <w:divBdr>
            <w:top w:val="none" w:sz="0" w:space="0" w:color="auto"/>
            <w:left w:val="none" w:sz="0" w:space="0" w:color="auto"/>
            <w:bottom w:val="none" w:sz="0" w:space="0" w:color="auto"/>
            <w:right w:val="none" w:sz="0" w:space="0" w:color="auto"/>
          </w:divBdr>
        </w:div>
        <w:div w:id="1763187017">
          <w:marLeft w:val="0"/>
          <w:marRight w:val="0"/>
          <w:marTop w:val="0"/>
          <w:marBottom w:val="0"/>
          <w:divBdr>
            <w:top w:val="none" w:sz="0" w:space="0" w:color="auto"/>
            <w:left w:val="none" w:sz="0" w:space="0" w:color="auto"/>
            <w:bottom w:val="none" w:sz="0" w:space="0" w:color="auto"/>
            <w:right w:val="none" w:sz="0" w:space="0" w:color="auto"/>
          </w:divBdr>
        </w:div>
        <w:div w:id="53089827">
          <w:marLeft w:val="0"/>
          <w:marRight w:val="0"/>
          <w:marTop w:val="0"/>
          <w:marBottom w:val="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 w:id="20394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e-orangerie.fr/fr/agenda/expositions/michel-paysant-voir-mo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ylvainbory.netboard.me/pnfyni2gry/" TargetMode="External"/><Relationship Id="rId4" Type="http://schemas.openxmlformats.org/officeDocument/2006/relationships/webSettings" Target="webSettings.xml"/><Relationship Id="rId9" Type="http://schemas.openxmlformats.org/officeDocument/2006/relationships/hyperlink" Target="https://www.pinaultcollection.com/fr/boursedecommerce/minim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907</Words>
  <Characters>4992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21</cp:revision>
  <dcterms:created xsi:type="dcterms:W3CDTF">2025-05-07T14:23:00Z</dcterms:created>
  <dcterms:modified xsi:type="dcterms:W3CDTF">2025-12-01T16:48:00Z</dcterms:modified>
</cp:coreProperties>
</file>