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layfair Display" w:cs="Playfair Display" w:eastAsia="Playfair Display" w:hAnsi="Playfair Display"/>
          <w:sz w:val="42"/>
          <w:szCs w:val="42"/>
        </w:rPr>
      </w:pPr>
      <w:r w:rsidDel="00000000" w:rsidR="00000000" w:rsidRPr="00000000">
        <w:rPr>
          <w:rFonts w:ascii="Playfair Display" w:cs="Playfair Display" w:eastAsia="Playfair Display" w:hAnsi="Playfair Display"/>
          <w:sz w:val="42"/>
          <w:szCs w:val="42"/>
          <w:rtl w:val="0"/>
        </w:rPr>
        <w:t xml:space="preserve">Критические ситуации</w:t>
      </w:r>
    </w:p>
    <w:p w:rsidR="00000000" w:rsidDel="00000000" w:rsidP="00000000" w:rsidRDefault="00000000" w:rsidRPr="00000000" w14:paraId="00000002">
      <w:pPr>
        <w:jc w:val="center"/>
        <w:rPr>
          <w:rFonts w:ascii="Playfair Display" w:cs="Playfair Display" w:eastAsia="Playfair Display" w:hAnsi="Playfair Display"/>
          <w:sz w:val="42"/>
          <w:szCs w:val="42"/>
        </w:rPr>
      </w:pPr>
      <w:r w:rsidDel="00000000" w:rsidR="00000000" w:rsidRPr="00000000">
        <w:rPr>
          <w:rFonts w:ascii="Playfair Display" w:cs="Playfair Display" w:eastAsia="Playfair Display" w:hAnsi="Playfair Display"/>
          <w:sz w:val="42"/>
          <w:szCs w:val="42"/>
          <w:rtl w:val="0"/>
        </w:rPr>
        <w:t xml:space="preserve">“Название команды”</w:t>
      </w:r>
    </w:p>
    <w:p w:rsidR="00000000" w:rsidDel="00000000" w:rsidP="00000000" w:rsidRDefault="00000000" w:rsidRPr="00000000" w14:paraId="00000003">
      <w:pPr>
        <w:rPr>
          <w:rFonts w:ascii="Playfair Display" w:cs="Playfair Display" w:eastAsia="Playfair Display" w:hAnsi="Playfair Display"/>
          <w:color w:val="242729"/>
          <w:sz w:val="28"/>
          <w:szCs w:val="28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242729"/>
          <w:sz w:val="28"/>
          <w:szCs w:val="28"/>
          <w:highlight w:val="white"/>
          <w:rtl w:val="0"/>
        </w:rPr>
        <w:t xml:space="preserve">Основное тут и важное понятие - это стек. При большой глубине рекурсии быстро расходуется.</w:t>
      </w:r>
    </w:p>
    <w:p w:rsidR="00000000" w:rsidDel="00000000" w:rsidP="00000000" w:rsidRDefault="00000000" w:rsidRPr="00000000" w14:paraId="00000004">
      <w:pPr>
        <w:rPr>
          <w:rFonts w:ascii="Playfair Display" w:cs="Playfair Display" w:eastAsia="Playfair Display" w:hAnsi="Playfair Display"/>
          <w:color w:val="242729"/>
          <w:sz w:val="28"/>
          <w:szCs w:val="28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242729"/>
          <w:sz w:val="28"/>
          <w:szCs w:val="28"/>
          <w:highlight w:val="white"/>
        </w:rPr>
        <w:drawing>
          <wp:inline distB="114300" distT="114300" distL="114300" distR="114300">
            <wp:extent cx="5731200" cy="2159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5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layfair Display" w:cs="Playfair Display" w:eastAsia="Playfair Display" w:hAnsi="Playfair Display"/>
          <w:color w:val="242729"/>
          <w:sz w:val="28"/>
          <w:szCs w:val="28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242729"/>
          <w:sz w:val="28"/>
          <w:szCs w:val="28"/>
          <w:highlight w:val="white"/>
          <w:rtl w:val="0"/>
        </w:rPr>
        <w:t xml:space="preserve">Также тут важно понимать, что сама функция факториала быстро растёт, т.е. добавить такой тип данных для переменной, который может принимать более большие числа.</w:t>
      </w:r>
    </w:p>
    <w:p w:rsidR="00000000" w:rsidDel="00000000" w:rsidP="00000000" w:rsidRDefault="00000000" w:rsidRPr="00000000" w14:paraId="00000006">
      <w:pPr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242729"/>
          <w:sz w:val="28"/>
          <w:szCs w:val="28"/>
          <w:highlight w:val="white"/>
          <w:rtl w:val="0"/>
        </w:rPr>
        <w:t xml:space="preserve">Метод борьбы - использование хвостовой рекурсии, которую нормальные компиляторы трансформируют в итерации. Или ввести ограничение на ввод значений.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