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961" w:rsidRDefault="00130961" w:rsidP="00130961">
      <w:pPr>
        <w:jc w:val="both"/>
        <w:rPr>
          <w:b/>
          <w:sz w:val="32"/>
          <w:szCs w:val="32"/>
        </w:rPr>
      </w:pPr>
    </w:p>
    <w:p w:rsidR="00130961" w:rsidRPr="00130961" w:rsidRDefault="00130961" w:rsidP="00130961">
      <w:pPr>
        <w:jc w:val="center"/>
        <w:rPr>
          <w:b/>
          <w:sz w:val="40"/>
          <w:szCs w:val="40"/>
        </w:rPr>
      </w:pPr>
      <w:r w:rsidRPr="00130961">
        <w:rPr>
          <w:b/>
          <w:sz w:val="40"/>
          <w:szCs w:val="40"/>
        </w:rPr>
        <w:t>Travail de révision obligatoire pour tous :</w:t>
      </w:r>
    </w:p>
    <w:p w:rsidR="00EC2F70" w:rsidRPr="00130961" w:rsidRDefault="00130961" w:rsidP="0013096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</w:t>
      </w:r>
      <w:r w:rsidRPr="00130961">
        <w:rPr>
          <w:b/>
          <w:sz w:val="40"/>
          <w:szCs w:val="40"/>
        </w:rPr>
        <w:t>e vocabulaire:</w:t>
      </w:r>
    </w:p>
    <w:p w:rsidR="00130961" w:rsidRPr="00130961" w:rsidRDefault="00130961" w:rsidP="00130961">
      <w:pPr>
        <w:jc w:val="both"/>
        <w:rPr>
          <w:sz w:val="32"/>
          <w:szCs w:val="32"/>
        </w:rPr>
      </w:pPr>
    </w:p>
    <w:p w:rsidR="00130961" w:rsidRPr="00130961" w:rsidRDefault="00130961" w:rsidP="00130961">
      <w:pPr>
        <w:jc w:val="both"/>
        <w:rPr>
          <w:sz w:val="32"/>
          <w:szCs w:val="32"/>
        </w:rPr>
      </w:pPr>
      <w:r w:rsidRPr="00130961">
        <w:rPr>
          <w:sz w:val="32"/>
          <w:szCs w:val="32"/>
        </w:rPr>
        <w:t xml:space="preserve">Pour réviser tout ce vocabulaire, je vous mets </w:t>
      </w:r>
      <w:r>
        <w:rPr>
          <w:sz w:val="32"/>
          <w:szCs w:val="32"/>
        </w:rPr>
        <w:t>plus bas</w:t>
      </w:r>
      <w:r w:rsidRPr="00130961">
        <w:rPr>
          <w:sz w:val="32"/>
          <w:szCs w:val="32"/>
        </w:rPr>
        <w:t xml:space="preserve"> les </w:t>
      </w:r>
      <w:r>
        <w:rPr>
          <w:sz w:val="32"/>
          <w:szCs w:val="32"/>
        </w:rPr>
        <w:t xml:space="preserve">documents </w:t>
      </w:r>
      <w:r w:rsidRPr="00130961">
        <w:rPr>
          <w:sz w:val="32"/>
          <w:szCs w:val="32"/>
        </w:rPr>
        <w:t>séances sur lesquelles on a travaillé</w:t>
      </w:r>
      <w:r>
        <w:rPr>
          <w:sz w:val="32"/>
          <w:szCs w:val="32"/>
        </w:rPr>
        <w:t xml:space="preserve"> (</w:t>
      </w:r>
      <w:r w:rsidRPr="00130961">
        <w:rPr>
          <w:sz w:val="32"/>
          <w:szCs w:val="32"/>
        </w:rPr>
        <w:t xml:space="preserve">Je </w:t>
      </w:r>
      <w:r>
        <w:rPr>
          <w:sz w:val="32"/>
          <w:szCs w:val="32"/>
        </w:rPr>
        <w:t xml:space="preserve">ne mets pas </w:t>
      </w:r>
      <w:r w:rsidRPr="00130961">
        <w:rPr>
          <w:sz w:val="32"/>
          <w:szCs w:val="32"/>
        </w:rPr>
        <w:t>le vocabulaire du cinéma, que vous trouverez dans la Séquence 3, séance 2</w:t>
      </w:r>
      <w:r>
        <w:rPr>
          <w:sz w:val="32"/>
          <w:szCs w:val="32"/>
        </w:rPr>
        <w:t>, pour lequel je n’ai pas de fichier informatique)</w:t>
      </w:r>
      <w:r w:rsidRPr="00130961">
        <w:rPr>
          <w:sz w:val="32"/>
          <w:szCs w:val="32"/>
        </w:rPr>
        <w:t xml:space="preserve">. </w:t>
      </w:r>
    </w:p>
    <w:p w:rsidR="00130961" w:rsidRPr="00130961" w:rsidRDefault="00130961" w:rsidP="00130961">
      <w:pPr>
        <w:jc w:val="both"/>
        <w:rPr>
          <w:sz w:val="32"/>
          <w:szCs w:val="32"/>
        </w:rPr>
      </w:pPr>
      <w:r w:rsidRPr="00130961">
        <w:rPr>
          <w:sz w:val="32"/>
          <w:szCs w:val="32"/>
        </w:rPr>
        <w:br w:type="page"/>
      </w:r>
    </w:p>
    <w:p w:rsidR="00130961" w:rsidRDefault="00130961" w:rsidP="00130961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Le vocabulaire des émotions :</w:t>
      </w:r>
    </w:p>
    <w:p w:rsidR="00130961" w:rsidRPr="000C5F3A" w:rsidRDefault="00130961" w:rsidP="00130961">
      <w:pPr>
        <w:rPr>
          <w:rFonts w:ascii="Verdana" w:hAnsi="Verdana"/>
          <w:b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6667640" cy="6145619"/>
            <wp:effectExtent l="19050" t="0" r="0" b="0"/>
            <wp:docPr id="4" name="Image 1" descr="Vocabulaire : comment exprimer des émotions - Chocolat littéra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cabulaire : comment exprimer des émotions - Chocolat littérair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263" cy="6148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961" w:rsidRDefault="00130961">
      <w:r>
        <w:br w:type="page"/>
      </w:r>
    </w:p>
    <w:p w:rsidR="00130961" w:rsidRPr="008A6517" w:rsidRDefault="00130961" w:rsidP="00130961">
      <w:pPr>
        <w:widowControl w:val="0"/>
        <w:pBdr>
          <w:top w:val="double" w:sz="4" w:space="1" w:color="00000A"/>
          <w:left w:val="double" w:sz="4" w:space="4" w:color="00000A"/>
          <w:bottom w:val="double" w:sz="4" w:space="1" w:color="00000A"/>
          <w:right w:val="double" w:sz="4" w:space="4" w:color="00000A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center"/>
        <w:rPr>
          <w:rFonts w:ascii="Verdana" w:hAnsi="Verdana" w:cs="Helvetica"/>
          <w:b/>
          <w:sz w:val="24"/>
          <w:szCs w:val="24"/>
          <w:lang w:bidi="fr-FR"/>
        </w:rPr>
      </w:pPr>
      <w:r>
        <w:rPr>
          <w:rFonts w:ascii="Verdana" w:hAnsi="Verdana" w:cs="Times-Roman"/>
          <w:b/>
          <w:sz w:val="24"/>
          <w:szCs w:val="24"/>
          <w:lang w:bidi="fr-FR"/>
        </w:rPr>
        <w:lastRenderedPageBreak/>
        <w:t xml:space="preserve">S5 - </w:t>
      </w:r>
      <w:r w:rsidRPr="008A6517">
        <w:rPr>
          <w:rFonts w:ascii="Verdana" w:hAnsi="Verdana" w:cs="Times-Roman"/>
          <w:b/>
          <w:sz w:val="24"/>
          <w:szCs w:val="24"/>
          <w:lang w:bidi="fr-FR"/>
        </w:rPr>
        <w:t>LE VOCABULAIRE DE L’OPINION ET DU JUGEMENT</w:t>
      </w:r>
    </w:p>
    <w:p w:rsidR="00130961" w:rsidRPr="008A6517" w:rsidRDefault="00130961" w:rsidP="001309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Verdana" w:hAnsi="Verdana" w:cs="Times-Roman"/>
          <w:sz w:val="24"/>
          <w:szCs w:val="24"/>
          <w:lang w:bidi="fr-FR"/>
        </w:rPr>
      </w:pPr>
    </w:p>
    <w:p w:rsidR="00130961" w:rsidRDefault="00130961" w:rsidP="001309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Verdana" w:hAnsi="Verdana" w:cs="Times-Roman"/>
          <w:sz w:val="24"/>
          <w:szCs w:val="24"/>
          <w:lang w:bidi="fr-FR"/>
        </w:rPr>
      </w:pPr>
      <w:r w:rsidRPr="00EF3633">
        <w:rPr>
          <w:rFonts w:ascii="Verdana" w:hAnsi="Verdana" w:cs="Times-Roman"/>
          <w:b/>
          <w:sz w:val="24"/>
          <w:szCs w:val="24"/>
          <w:lang w:bidi="fr-FR"/>
        </w:rPr>
        <w:t>Les verbes d’opinion :</w:t>
      </w:r>
      <w:r>
        <w:rPr>
          <w:rFonts w:ascii="Verdana" w:hAnsi="Verdana" w:cs="Times-Roman"/>
          <w:sz w:val="24"/>
          <w:szCs w:val="24"/>
          <w:lang w:bidi="fr-FR"/>
        </w:rPr>
        <w:t xml:space="preserve"> reliez les tournures verbales à la position qu’ils expriment :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2127"/>
        <w:gridCol w:w="1417"/>
        <w:gridCol w:w="4686"/>
      </w:tblGrid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je sais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je suppose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je considère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Une position neutre</w:t>
            </w: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je confirme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je suis certain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je crois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Une incertitude</w:t>
            </w: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je m’oppose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j’adhère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je pense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Une conviction</w:t>
            </w: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j'admets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j’affirme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j’objecte que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Un désaccord avec la partie adverse</w:t>
            </w: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j’ignore si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je conviens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je doute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Un accord avec la partie adverse</w:t>
            </w:r>
          </w:p>
        </w:tc>
      </w:tr>
      <w:tr w:rsidR="00130961" w:rsidTr="00BA2131">
        <w:tc>
          <w:tcPr>
            <w:tcW w:w="237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  <w:t>je certifie</w:t>
            </w:r>
          </w:p>
        </w:tc>
        <w:tc>
          <w:tcPr>
            <w:tcW w:w="212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417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686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</w:tbl>
    <w:p w:rsidR="00130961" w:rsidRPr="008A6517" w:rsidRDefault="00130961" w:rsidP="001309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Verdana" w:hAnsi="Verdana" w:cs="Helvetica-Oblique"/>
          <w:i/>
          <w:iCs/>
          <w:sz w:val="24"/>
          <w:szCs w:val="24"/>
          <w:lang w:bidi="fr-FR"/>
        </w:rPr>
      </w:pPr>
    </w:p>
    <w:p w:rsidR="00130961" w:rsidRDefault="00130961" w:rsidP="001309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Verdana" w:hAnsi="Verdana" w:cs="Helvetica-Oblique"/>
          <w:b/>
          <w:i/>
          <w:iCs/>
          <w:sz w:val="24"/>
          <w:szCs w:val="24"/>
          <w:lang w:bidi="fr-FR"/>
        </w:rPr>
      </w:pPr>
      <w:r w:rsidRPr="008A6517">
        <w:rPr>
          <w:rFonts w:ascii="Verdana" w:hAnsi="Verdana" w:cs="Helvetica-Oblique"/>
          <w:b/>
          <w:i/>
          <w:iCs/>
          <w:sz w:val="24"/>
          <w:szCs w:val="24"/>
          <w:lang w:bidi="fr-FR"/>
        </w:rPr>
        <w:t xml:space="preserve">Ces verbes marquent-ils l'accord ou le désaccord ? </w:t>
      </w:r>
    </w:p>
    <w:p w:rsidR="00130961" w:rsidRPr="00EF3633" w:rsidRDefault="00130961" w:rsidP="001309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Verdana" w:hAnsi="Verdana" w:cs="Helvetica-Oblique"/>
          <w:i/>
          <w:iCs/>
          <w:sz w:val="24"/>
          <w:szCs w:val="24"/>
          <w:lang w:bidi="fr-FR"/>
        </w:rPr>
      </w:pPr>
      <w:proofErr w:type="gramStart"/>
      <w:r w:rsidRPr="008A6517">
        <w:rPr>
          <w:rFonts w:ascii="Verdana" w:hAnsi="Verdana" w:cs="Helvetica-Oblique"/>
          <w:i/>
          <w:iCs/>
          <w:sz w:val="24"/>
          <w:szCs w:val="24"/>
          <w:lang w:bidi="fr-FR"/>
        </w:rPr>
        <w:t>approuver</w:t>
      </w:r>
      <w:proofErr w:type="gramEnd"/>
      <w:r w:rsidRPr="008A6517">
        <w:rPr>
          <w:rFonts w:ascii="Verdana" w:hAnsi="Verdana" w:cs="Helvetica-Oblique"/>
          <w:i/>
          <w:iCs/>
          <w:sz w:val="24"/>
          <w:szCs w:val="24"/>
          <w:lang w:bidi="fr-FR"/>
        </w:rPr>
        <w:t>, partager, condamner</w:t>
      </w:r>
      <w:r>
        <w:rPr>
          <w:rFonts w:ascii="Verdana" w:hAnsi="Verdana" w:cs="Helvetica-Oblique"/>
          <w:i/>
          <w:iCs/>
          <w:sz w:val="24"/>
          <w:szCs w:val="24"/>
          <w:lang w:bidi="fr-FR"/>
        </w:rPr>
        <w:t>,</w:t>
      </w:r>
      <w:r w:rsidRPr="008A6517">
        <w:rPr>
          <w:rFonts w:ascii="Verdana" w:hAnsi="Verdana" w:cs="Helvetica-Oblique"/>
          <w:i/>
          <w:iCs/>
          <w:sz w:val="24"/>
          <w:szCs w:val="24"/>
          <w:lang w:bidi="fr-FR"/>
        </w:rPr>
        <w:t xml:space="preserve"> réprouver, désapprouver</w:t>
      </w:r>
      <w:r>
        <w:rPr>
          <w:rFonts w:ascii="Verdana" w:hAnsi="Verdana" w:cs="Helvetica-Oblique"/>
          <w:i/>
          <w:iCs/>
          <w:sz w:val="24"/>
          <w:szCs w:val="24"/>
          <w:lang w:bidi="fr-FR"/>
        </w:rPr>
        <w:t>,</w:t>
      </w:r>
      <w:r w:rsidRPr="008A6517">
        <w:rPr>
          <w:rFonts w:ascii="Verdana" w:hAnsi="Verdana" w:cs="Helvetica-Oblique"/>
          <w:i/>
          <w:iCs/>
          <w:sz w:val="24"/>
          <w:szCs w:val="24"/>
          <w:lang w:bidi="fr-FR"/>
        </w:rPr>
        <w:t xml:space="preserve"> décrier</w:t>
      </w:r>
      <w:r>
        <w:rPr>
          <w:rFonts w:ascii="Verdana" w:hAnsi="Verdana" w:cs="Helvetica-Oblique"/>
          <w:i/>
          <w:iCs/>
          <w:sz w:val="24"/>
          <w:szCs w:val="24"/>
          <w:lang w:bidi="fr-FR"/>
        </w:rPr>
        <w:t>,</w:t>
      </w:r>
      <w:r w:rsidRPr="008A6517">
        <w:rPr>
          <w:rFonts w:ascii="Verdana" w:hAnsi="Verdana" w:cs="Helvetica-Oblique"/>
          <w:i/>
          <w:iCs/>
          <w:sz w:val="24"/>
          <w:szCs w:val="24"/>
          <w:lang w:bidi="fr-FR"/>
        </w:rPr>
        <w:t xml:space="preserve"> accepter, dénigrer, adhérer, contester</w:t>
      </w:r>
      <w:r>
        <w:rPr>
          <w:rFonts w:ascii="Verdana" w:hAnsi="Verdana" w:cs="Helvetica-Oblique"/>
          <w:i/>
          <w:iCs/>
          <w:sz w:val="24"/>
          <w:szCs w:val="24"/>
          <w:lang w:bidi="fr-FR"/>
        </w:rPr>
        <w:t>,</w:t>
      </w:r>
      <w:r w:rsidRPr="008A6517">
        <w:rPr>
          <w:rFonts w:ascii="Verdana" w:hAnsi="Verdana" w:cs="Helvetica-Oblique"/>
          <w:i/>
          <w:iCs/>
          <w:sz w:val="24"/>
          <w:szCs w:val="24"/>
          <w:lang w:bidi="fr-FR"/>
        </w:rPr>
        <w:t xml:space="preserve"> glorifier, louer, magnifier, adopter</w:t>
      </w:r>
      <w:r>
        <w:rPr>
          <w:rFonts w:ascii="Verdana" w:hAnsi="Verdana" w:cs="Helvetica-Oblique"/>
          <w:i/>
          <w:iCs/>
          <w:sz w:val="24"/>
          <w:szCs w:val="24"/>
          <w:lang w:bidi="fr-FR"/>
        </w:rPr>
        <w:t>,</w:t>
      </w:r>
      <w:r w:rsidRPr="008A6517">
        <w:rPr>
          <w:rFonts w:ascii="Verdana" w:hAnsi="Verdana" w:cs="Helvetica-Oblique"/>
          <w:i/>
          <w:iCs/>
          <w:sz w:val="24"/>
          <w:szCs w:val="24"/>
          <w:lang w:bidi="fr-FR"/>
        </w:rPr>
        <w:t xml:space="preserve"> blâmer apprécier,  célébrer, exalter, vanter, s'opposer à, refuser, convenir</w:t>
      </w:r>
      <w:r>
        <w:rPr>
          <w:rFonts w:ascii="Verdana" w:hAnsi="Verdana" w:cs="Helvetica-Oblique"/>
          <w:i/>
          <w:iCs/>
          <w:sz w:val="24"/>
          <w:szCs w:val="24"/>
          <w:lang w:bidi="fr-FR"/>
        </w:rPr>
        <w:t>,</w:t>
      </w:r>
      <w:r w:rsidRPr="008A6517">
        <w:rPr>
          <w:rFonts w:ascii="Verdana" w:hAnsi="Verdana" w:cs="Helvetica-Oblique"/>
          <w:i/>
          <w:iCs/>
          <w:sz w:val="24"/>
          <w:szCs w:val="24"/>
          <w:lang w:bidi="fr-FR"/>
        </w:rPr>
        <w:t xml:space="preserve"> objecter, soutenir</w:t>
      </w:r>
      <w:r>
        <w:rPr>
          <w:rFonts w:ascii="Verdana" w:hAnsi="Verdana" w:cs="Helvetica-Oblique"/>
          <w:i/>
          <w:iCs/>
          <w:sz w:val="24"/>
          <w:szCs w:val="24"/>
          <w:lang w:bidi="fr-FR"/>
        </w:rPr>
        <w:t>.</w:t>
      </w:r>
    </w:p>
    <w:tbl>
      <w:tblPr>
        <w:tblStyle w:val="Grilledutableau"/>
        <w:tblW w:w="10598" w:type="dxa"/>
        <w:tblInd w:w="-5" w:type="dxa"/>
        <w:tblCellMar>
          <w:left w:w="103" w:type="dxa"/>
        </w:tblCellMar>
        <w:tblLook w:val="04A0"/>
      </w:tblPr>
      <w:tblGrid>
        <w:gridCol w:w="5495"/>
        <w:gridCol w:w="5103"/>
      </w:tblGrid>
      <w:tr w:rsidR="00130961" w:rsidRPr="00EF3633" w:rsidTr="00BA2131">
        <w:tc>
          <w:tcPr>
            <w:tcW w:w="5495" w:type="dxa"/>
            <w:shd w:val="clear" w:color="auto" w:fill="auto"/>
            <w:tcMar>
              <w:left w:w="103" w:type="dxa"/>
            </w:tcMar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center"/>
              <w:rPr>
                <w:rFonts w:ascii="Verdana" w:hAnsi="Verdana" w:cs="Helvetica-Oblique"/>
                <w:b/>
                <w:iCs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Helvetica-Oblique"/>
                <w:b/>
                <w:iCs/>
                <w:sz w:val="24"/>
                <w:szCs w:val="24"/>
                <w:lang w:bidi="fr-FR"/>
              </w:rPr>
              <w:t>L’accord</w:t>
            </w:r>
          </w:p>
        </w:tc>
        <w:tc>
          <w:tcPr>
            <w:tcW w:w="5103" w:type="dxa"/>
            <w:shd w:val="clear" w:color="auto" w:fill="auto"/>
            <w:tcMar>
              <w:left w:w="103" w:type="dxa"/>
            </w:tcMar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center"/>
              <w:rPr>
                <w:rFonts w:ascii="Verdana" w:hAnsi="Verdana" w:cs="Helvetica-Oblique"/>
                <w:b/>
                <w:iCs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Helvetica-Oblique"/>
                <w:b/>
                <w:iCs/>
                <w:sz w:val="24"/>
                <w:szCs w:val="24"/>
                <w:lang w:bidi="fr-FR"/>
              </w:rPr>
              <w:t>Le désaccord</w:t>
            </w:r>
          </w:p>
        </w:tc>
      </w:tr>
      <w:tr w:rsidR="00130961" w:rsidRPr="008A6517" w:rsidTr="00BA2131">
        <w:tc>
          <w:tcPr>
            <w:tcW w:w="5495" w:type="dxa"/>
            <w:shd w:val="clear" w:color="auto" w:fill="auto"/>
            <w:tcMar>
              <w:left w:w="103" w:type="dxa"/>
            </w:tcMar>
          </w:tcPr>
          <w:p w:rsidR="00130961" w:rsidRPr="008A6517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</w:pPr>
          </w:p>
          <w:p w:rsidR="00130961" w:rsidRPr="008A6517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</w:pPr>
          </w:p>
          <w:p w:rsidR="00130961" w:rsidRPr="008A6517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</w:pPr>
          </w:p>
          <w:p w:rsidR="00130961" w:rsidRPr="008A6517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</w:pPr>
          </w:p>
          <w:p w:rsidR="00130961" w:rsidRPr="008A6517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</w:pPr>
          </w:p>
          <w:p w:rsidR="00130961" w:rsidRPr="008A6517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</w:pPr>
          </w:p>
          <w:p w:rsidR="00130961" w:rsidRPr="008A6517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</w:pPr>
          </w:p>
          <w:p w:rsidR="00130961" w:rsidRPr="008A6517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</w:pPr>
          </w:p>
        </w:tc>
        <w:tc>
          <w:tcPr>
            <w:tcW w:w="5103" w:type="dxa"/>
            <w:shd w:val="clear" w:color="auto" w:fill="auto"/>
            <w:tcMar>
              <w:left w:w="103" w:type="dxa"/>
            </w:tcMar>
          </w:tcPr>
          <w:p w:rsidR="00130961" w:rsidRPr="008A6517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Helvetica-Oblique"/>
                <w:i/>
                <w:iCs/>
                <w:sz w:val="24"/>
                <w:szCs w:val="24"/>
                <w:lang w:bidi="fr-FR"/>
              </w:rPr>
            </w:pPr>
          </w:p>
        </w:tc>
      </w:tr>
    </w:tbl>
    <w:p w:rsidR="00130961" w:rsidRPr="008A6517" w:rsidRDefault="00130961" w:rsidP="001309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Verdana" w:hAnsi="Verdana" w:cs="Helvetica"/>
          <w:sz w:val="24"/>
          <w:szCs w:val="24"/>
          <w:lang w:bidi="fr-FR"/>
        </w:rPr>
      </w:pPr>
    </w:p>
    <w:p w:rsidR="00130961" w:rsidRPr="008A6517" w:rsidRDefault="00130961" w:rsidP="001309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Verdana" w:hAnsi="Verdana"/>
          <w:sz w:val="24"/>
          <w:szCs w:val="24"/>
        </w:rPr>
      </w:pPr>
    </w:p>
    <w:p w:rsidR="00130961" w:rsidRDefault="00130961" w:rsidP="001309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Verdana" w:hAnsi="Verdana" w:cs="Times-Roman"/>
          <w:sz w:val="24"/>
          <w:szCs w:val="24"/>
          <w:lang w:bidi="fr-FR"/>
        </w:rPr>
      </w:pPr>
      <w:r w:rsidRPr="008A6517">
        <w:rPr>
          <w:rFonts w:ascii="Verdana" w:hAnsi="Verdana" w:cs="Times-Roman"/>
          <w:b/>
          <w:sz w:val="24"/>
          <w:szCs w:val="24"/>
          <w:u w:val="single"/>
          <w:lang w:bidi="fr-FR"/>
        </w:rPr>
        <w:t>Les adverbes</w:t>
      </w:r>
      <w:r w:rsidRPr="008A6517">
        <w:rPr>
          <w:rFonts w:ascii="Verdana" w:hAnsi="Verdana" w:cs="Times-Roman"/>
          <w:sz w:val="24"/>
          <w:szCs w:val="24"/>
          <w:lang w:bidi="fr-FR"/>
        </w:rPr>
        <w:t xml:space="preserve"> vous serviront à </w:t>
      </w:r>
      <w:r w:rsidRPr="008A6517">
        <w:rPr>
          <w:rFonts w:ascii="Verdana" w:hAnsi="Verdana" w:cs="Times-Roman"/>
          <w:b/>
          <w:sz w:val="24"/>
          <w:szCs w:val="24"/>
          <w:lang w:bidi="fr-FR"/>
        </w:rPr>
        <w:t>nuancer</w:t>
      </w:r>
      <w:r w:rsidRPr="008A6517">
        <w:rPr>
          <w:rFonts w:ascii="Verdana" w:hAnsi="Verdana" w:cs="Times-Roman"/>
          <w:sz w:val="24"/>
          <w:szCs w:val="24"/>
          <w:lang w:bidi="fr-FR"/>
        </w:rPr>
        <w:t xml:space="preserve"> votre opinion : </w:t>
      </w:r>
    </w:p>
    <w:p w:rsidR="00130961" w:rsidRPr="008A6517" w:rsidRDefault="00130961" w:rsidP="001309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Verdana" w:hAnsi="Verdana" w:cs="Times-Roman"/>
          <w:i/>
          <w:sz w:val="24"/>
          <w:szCs w:val="24"/>
          <w:lang w:bidi="fr-FR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51"/>
        <w:gridCol w:w="1993"/>
        <w:gridCol w:w="1560"/>
        <w:gridCol w:w="4402"/>
      </w:tblGrid>
      <w:tr w:rsidR="00130961" w:rsidTr="00BA2131">
        <w:tc>
          <w:tcPr>
            <w:tcW w:w="2651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i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Times-Roman"/>
                <w:i/>
                <w:sz w:val="24"/>
                <w:szCs w:val="24"/>
                <w:lang w:bidi="fr-FR"/>
              </w:rPr>
              <w:t>certainement</w:t>
            </w:r>
          </w:p>
        </w:tc>
        <w:tc>
          <w:tcPr>
            <w:tcW w:w="1993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560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402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651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i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Times-Roman"/>
                <w:i/>
                <w:sz w:val="24"/>
                <w:szCs w:val="24"/>
                <w:lang w:bidi="fr-FR"/>
              </w:rPr>
              <w:t>assurément</w:t>
            </w:r>
          </w:p>
        </w:tc>
        <w:tc>
          <w:tcPr>
            <w:tcW w:w="1993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560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4402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Apporter une certitude</w:t>
            </w:r>
          </w:p>
        </w:tc>
      </w:tr>
      <w:tr w:rsidR="00130961" w:rsidTr="00BA2131">
        <w:tc>
          <w:tcPr>
            <w:tcW w:w="2651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i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Times-Roman"/>
                <w:i/>
                <w:sz w:val="24"/>
                <w:szCs w:val="24"/>
                <w:lang w:bidi="fr-FR"/>
              </w:rPr>
              <w:t>absolument</w:t>
            </w:r>
          </w:p>
        </w:tc>
        <w:tc>
          <w:tcPr>
            <w:tcW w:w="1993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560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402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651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i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Times-Roman"/>
                <w:i/>
                <w:sz w:val="24"/>
                <w:szCs w:val="24"/>
                <w:lang w:bidi="fr-FR"/>
              </w:rPr>
              <w:t>peut-être</w:t>
            </w:r>
          </w:p>
        </w:tc>
        <w:tc>
          <w:tcPr>
            <w:tcW w:w="1993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560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4402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Apporter le doute</w:t>
            </w:r>
          </w:p>
        </w:tc>
      </w:tr>
      <w:tr w:rsidR="00130961" w:rsidTr="00BA2131">
        <w:tc>
          <w:tcPr>
            <w:tcW w:w="2651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i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Times-Roman"/>
                <w:i/>
                <w:sz w:val="24"/>
                <w:szCs w:val="24"/>
                <w:lang w:bidi="fr-FR"/>
              </w:rPr>
              <w:t>probablement</w:t>
            </w:r>
          </w:p>
        </w:tc>
        <w:tc>
          <w:tcPr>
            <w:tcW w:w="1993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560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402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651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i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Times-Roman"/>
                <w:i/>
                <w:sz w:val="24"/>
                <w:szCs w:val="24"/>
                <w:lang w:bidi="fr-FR"/>
              </w:rPr>
              <w:t>sans doute</w:t>
            </w:r>
          </w:p>
        </w:tc>
        <w:tc>
          <w:tcPr>
            <w:tcW w:w="1993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560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4402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Les deux suivant l’utilisation</w:t>
            </w:r>
          </w:p>
        </w:tc>
      </w:tr>
      <w:tr w:rsidR="00130961" w:rsidTr="00BA2131">
        <w:tc>
          <w:tcPr>
            <w:tcW w:w="2651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i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Times-Roman"/>
                <w:i/>
                <w:sz w:val="24"/>
                <w:szCs w:val="24"/>
                <w:lang w:bidi="fr-FR"/>
              </w:rPr>
              <w:t>de toute évidence</w:t>
            </w:r>
          </w:p>
        </w:tc>
        <w:tc>
          <w:tcPr>
            <w:tcW w:w="1993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560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402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  <w:tr w:rsidR="00130961" w:rsidTr="00BA2131">
        <w:tc>
          <w:tcPr>
            <w:tcW w:w="2651" w:type="dxa"/>
          </w:tcPr>
          <w:p w:rsidR="00130961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i/>
                <w:sz w:val="24"/>
                <w:szCs w:val="24"/>
                <w:lang w:bidi="fr-FR"/>
              </w:rPr>
            </w:pPr>
            <w:r w:rsidRPr="008A6517">
              <w:rPr>
                <w:rFonts w:ascii="Verdana" w:hAnsi="Verdana" w:cs="Times-Roman"/>
                <w:i/>
                <w:sz w:val="24"/>
                <w:szCs w:val="24"/>
                <w:lang w:bidi="fr-FR"/>
              </w:rPr>
              <w:t>résolument</w:t>
            </w:r>
          </w:p>
        </w:tc>
        <w:tc>
          <w:tcPr>
            <w:tcW w:w="1993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  <w:r w:rsidRPr="00EF3633">
              <w:rPr>
                <w:rFonts w:ascii="Verdana" w:hAnsi="Verdana" w:cs="Times-Roman"/>
                <w:sz w:val="24"/>
                <w:szCs w:val="24"/>
                <w:lang w:bidi="fr-FR"/>
              </w:rPr>
              <w:t>O</w:t>
            </w:r>
          </w:p>
        </w:tc>
        <w:tc>
          <w:tcPr>
            <w:tcW w:w="1560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right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  <w:tc>
          <w:tcPr>
            <w:tcW w:w="4402" w:type="dxa"/>
          </w:tcPr>
          <w:p w:rsidR="00130961" w:rsidRPr="00EF3633" w:rsidRDefault="00130961" w:rsidP="00BA213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="Verdana" w:hAnsi="Verdana" w:cs="Times-Roman"/>
                <w:sz w:val="24"/>
                <w:szCs w:val="24"/>
                <w:lang w:bidi="fr-FR"/>
              </w:rPr>
            </w:pPr>
          </w:p>
        </w:tc>
      </w:tr>
    </w:tbl>
    <w:p w:rsidR="00130961" w:rsidRPr="00B472BA" w:rsidRDefault="00130961" w:rsidP="001309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Verdana" w:hAnsi="Verdana" w:cs="Times-Roman"/>
          <w:sz w:val="24"/>
          <w:szCs w:val="24"/>
          <w:lang w:bidi="fr-FR"/>
        </w:rPr>
      </w:pPr>
    </w:p>
    <w:p w:rsidR="00130961" w:rsidRDefault="00130961">
      <w:r>
        <w:br w:type="page"/>
      </w:r>
    </w:p>
    <w:p w:rsidR="00130961" w:rsidRDefault="00130961" w:rsidP="00130961">
      <w:pPr>
        <w:pStyle w:val="Titre"/>
        <w:shd w:val="clear" w:color="auto" w:fill="DDD9C3"/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lastRenderedPageBreak/>
        <w:t xml:space="preserve">SEANCE 3 : LES REGLES DE VERSIFICATION. </w:t>
      </w:r>
    </w:p>
    <w:p w:rsidR="00130961" w:rsidRDefault="00130961" w:rsidP="00130961"/>
    <w:p w:rsidR="00130961" w:rsidRDefault="00130961" w:rsidP="00130961">
      <w:pPr>
        <w:spacing w:after="0" w:line="240" w:lineRule="auto"/>
        <w:jc w:val="both"/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1. LES TYPES DE STROPHES :</w:t>
      </w:r>
    </w:p>
    <w:p w:rsidR="00130961" w:rsidRDefault="00130961" w:rsidP="00130961">
      <w:pPr>
        <w:numPr>
          <w:ilvl w:val="0"/>
          <w:numId w:val="1"/>
        </w:numPr>
        <w:tabs>
          <w:tab w:val="clear" w:pos="720"/>
          <w:tab w:val="num" w:pos="180"/>
        </w:tabs>
        <w:spacing w:after="0" w:line="240" w:lineRule="auto"/>
        <w:ind w:left="180" w:hanging="180"/>
        <w:jc w:val="both"/>
        <w:rPr>
          <w:rFonts w:ascii="Cambria" w:hAnsi="Cambria"/>
        </w:rPr>
      </w:pPr>
      <w:r>
        <w:rPr>
          <w:rFonts w:ascii="Cambria" w:hAnsi="Cambria"/>
        </w:rPr>
        <w:t>2 vers :</w:t>
      </w:r>
    </w:p>
    <w:p w:rsidR="00130961" w:rsidRDefault="00130961" w:rsidP="00130961">
      <w:pPr>
        <w:numPr>
          <w:ilvl w:val="0"/>
          <w:numId w:val="1"/>
        </w:numPr>
        <w:tabs>
          <w:tab w:val="clear" w:pos="720"/>
          <w:tab w:val="num" w:pos="180"/>
        </w:tabs>
        <w:spacing w:after="0" w:line="240" w:lineRule="auto"/>
        <w:ind w:left="180" w:hanging="180"/>
        <w:jc w:val="both"/>
        <w:rPr>
          <w:rFonts w:ascii="Cambria" w:hAnsi="Cambria"/>
        </w:rPr>
      </w:pPr>
      <w:r>
        <w:rPr>
          <w:rFonts w:ascii="Cambria" w:hAnsi="Cambria"/>
        </w:rPr>
        <w:t>3 vers :</w:t>
      </w:r>
    </w:p>
    <w:p w:rsidR="00130961" w:rsidRDefault="00130961" w:rsidP="00130961">
      <w:pPr>
        <w:numPr>
          <w:ilvl w:val="0"/>
          <w:numId w:val="1"/>
        </w:numPr>
        <w:tabs>
          <w:tab w:val="clear" w:pos="720"/>
          <w:tab w:val="num" w:pos="180"/>
        </w:tabs>
        <w:spacing w:after="0" w:line="240" w:lineRule="auto"/>
        <w:ind w:left="180" w:hanging="180"/>
        <w:jc w:val="both"/>
        <w:rPr>
          <w:rFonts w:ascii="Cambria" w:hAnsi="Cambria"/>
        </w:rPr>
      </w:pPr>
      <w:r>
        <w:rPr>
          <w:rFonts w:ascii="Cambria" w:hAnsi="Cambria"/>
        </w:rPr>
        <w:t>4 vers :</w:t>
      </w:r>
    </w:p>
    <w:p w:rsidR="00130961" w:rsidRDefault="00130961" w:rsidP="00130961">
      <w:pPr>
        <w:numPr>
          <w:ilvl w:val="0"/>
          <w:numId w:val="1"/>
        </w:numPr>
        <w:tabs>
          <w:tab w:val="clear" w:pos="720"/>
          <w:tab w:val="num" w:pos="180"/>
        </w:tabs>
        <w:spacing w:after="0" w:line="240" w:lineRule="auto"/>
        <w:ind w:left="180" w:hanging="180"/>
        <w:jc w:val="both"/>
        <w:rPr>
          <w:rFonts w:ascii="Cambria" w:hAnsi="Cambria"/>
        </w:rPr>
      </w:pPr>
      <w:r>
        <w:rPr>
          <w:rFonts w:ascii="Cambria" w:hAnsi="Cambria"/>
        </w:rPr>
        <w:t>5 vers :</w:t>
      </w:r>
    </w:p>
    <w:p w:rsidR="00130961" w:rsidRDefault="00130961" w:rsidP="00130961">
      <w:pPr>
        <w:numPr>
          <w:ilvl w:val="0"/>
          <w:numId w:val="1"/>
        </w:numPr>
        <w:tabs>
          <w:tab w:val="clear" w:pos="720"/>
          <w:tab w:val="num" w:pos="180"/>
        </w:tabs>
        <w:spacing w:after="0" w:line="240" w:lineRule="auto"/>
        <w:ind w:left="180" w:hanging="180"/>
        <w:jc w:val="both"/>
        <w:rPr>
          <w:rFonts w:ascii="Cambria" w:hAnsi="Cambria"/>
        </w:rPr>
      </w:pPr>
      <w:r>
        <w:rPr>
          <w:rFonts w:ascii="Cambria" w:hAnsi="Cambria"/>
        </w:rPr>
        <w:t>6 vers :</w:t>
      </w:r>
    </w:p>
    <w:p w:rsidR="00130961" w:rsidRDefault="00130961" w:rsidP="00130961">
      <w:pPr>
        <w:tabs>
          <w:tab w:val="num" w:pos="180"/>
        </w:tabs>
        <w:spacing w:after="0" w:line="240" w:lineRule="auto"/>
        <w:jc w:val="both"/>
        <w:rPr>
          <w:rFonts w:ascii="Cambria" w:hAnsi="Cambria"/>
        </w:rPr>
      </w:pPr>
    </w:p>
    <w:p w:rsidR="00130961" w:rsidRDefault="00130961" w:rsidP="00130961">
      <w:pPr>
        <w:spacing w:after="0" w:line="240" w:lineRule="auto"/>
        <w:jc w:val="both"/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2. LES TYPES DE VERS :</w:t>
      </w:r>
    </w:p>
    <w:p w:rsidR="00130961" w:rsidRDefault="00130961" w:rsidP="00130961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L’</w:t>
      </w:r>
      <w:r>
        <w:rPr>
          <w:rFonts w:ascii="Cambria" w:hAnsi="Cambria"/>
          <w:b/>
          <w:bCs/>
          <w:u w:val="single"/>
        </w:rPr>
        <w:t>alexandrin</w:t>
      </w:r>
      <w:r>
        <w:rPr>
          <w:rFonts w:ascii="Cambria" w:hAnsi="Cambria"/>
        </w:rPr>
        <w:t xml:space="preserve"> : vers noble de 12 syllabes (il est coupé d’habitude de moitié, à la césure, au milieu du vers, entre les deux hémistiches). </w:t>
      </w:r>
    </w:p>
    <w:p w:rsidR="00130961" w:rsidRDefault="00130961" w:rsidP="00130961">
      <w:pPr>
        <w:spacing w:after="0" w:line="240" w:lineRule="auto"/>
        <w:ind w:left="1080"/>
        <w:jc w:val="both"/>
        <w:rPr>
          <w:rFonts w:ascii="Cambria" w:hAnsi="Cambria"/>
        </w:rPr>
      </w:pPr>
    </w:p>
    <w:p w:rsidR="00130961" w:rsidRDefault="00130961" w:rsidP="00130961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Le </w:t>
      </w:r>
      <w:r>
        <w:rPr>
          <w:rFonts w:ascii="Cambria" w:hAnsi="Cambria"/>
          <w:b/>
          <w:bCs/>
          <w:u w:val="single"/>
        </w:rPr>
        <w:t>décasyllabe</w:t>
      </w:r>
      <w:r>
        <w:rPr>
          <w:rFonts w:ascii="Cambria" w:hAnsi="Cambria"/>
        </w:rPr>
        <w:t> : vers de 10 syllabes (césure à la 4</w:t>
      </w:r>
      <w:r>
        <w:rPr>
          <w:rFonts w:ascii="Cambria" w:hAnsi="Cambria"/>
          <w:vertAlign w:val="superscript"/>
        </w:rPr>
        <w:t>e</w:t>
      </w:r>
      <w:r>
        <w:rPr>
          <w:rFonts w:ascii="Cambria" w:hAnsi="Cambria"/>
        </w:rPr>
        <w:t xml:space="preserve"> syllabe).</w:t>
      </w:r>
    </w:p>
    <w:p w:rsidR="00130961" w:rsidRDefault="00130961" w:rsidP="00130961">
      <w:pPr>
        <w:spacing w:after="0" w:line="240" w:lineRule="auto"/>
        <w:ind w:left="1080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</w:p>
    <w:p w:rsidR="00130961" w:rsidRDefault="00130961" w:rsidP="00130961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L’</w:t>
      </w:r>
      <w:r>
        <w:rPr>
          <w:rFonts w:ascii="Cambria" w:hAnsi="Cambria"/>
          <w:b/>
          <w:bCs/>
          <w:u w:val="single"/>
        </w:rPr>
        <w:t>octosyllabe</w:t>
      </w:r>
      <w:r>
        <w:rPr>
          <w:rFonts w:ascii="Cambria" w:hAnsi="Cambria"/>
        </w:rPr>
        <w:t xml:space="preserve"> : vers de 8 syllabes sans coupe. </w:t>
      </w:r>
    </w:p>
    <w:p w:rsidR="00130961" w:rsidRDefault="00130961" w:rsidP="00130961">
      <w:pPr>
        <w:spacing w:after="0" w:line="240" w:lineRule="auto"/>
        <w:jc w:val="both"/>
        <w:rPr>
          <w:rFonts w:ascii="Cambria" w:hAnsi="Cambria"/>
        </w:rPr>
      </w:pPr>
    </w:p>
    <w:p w:rsidR="00130961" w:rsidRDefault="00130961" w:rsidP="00130961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L’</w:t>
      </w:r>
      <w:r>
        <w:rPr>
          <w:rFonts w:ascii="Cambria" w:hAnsi="Cambria"/>
          <w:b/>
          <w:bCs/>
          <w:u w:val="single"/>
        </w:rPr>
        <w:t>heptasyllabe </w:t>
      </w:r>
      <w:r>
        <w:rPr>
          <w:rFonts w:ascii="Cambria" w:hAnsi="Cambria"/>
        </w:rPr>
        <w:t xml:space="preserve">: vers de 7 syllabes. </w:t>
      </w:r>
    </w:p>
    <w:p w:rsidR="00130961" w:rsidRDefault="00130961" w:rsidP="00130961">
      <w:pPr>
        <w:spacing w:after="0" w:line="240" w:lineRule="auto"/>
        <w:ind w:left="720"/>
        <w:jc w:val="both"/>
        <w:rPr>
          <w:rFonts w:ascii="Cambria" w:hAnsi="Cambria"/>
        </w:rPr>
      </w:pPr>
    </w:p>
    <w:p w:rsidR="00130961" w:rsidRDefault="00130961" w:rsidP="00130961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Un vers ne représente pas nécessairement une phrase : </w:t>
      </w:r>
    </w:p>
    <w:p w:rsidR="00130961" w:rsidRDefault="00130961" w:rsidP="00130961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On parle de </w:t>
      </w:r>
      <w:r>
        <w:rPr>
          <w:rFonts w:ascii="Cambria" w:hAnsi="Cambria"/>
          <w:b/>
          <w:bCs/>
        </w:rPr>
        <w:t>rejet</w:t>
      </w:r>
      <w:r>
        <w:rPr>
          <w:rFonts w:ascii="Cambria" w:hAnsi="Cambria"/>
        </w:rPr>
        <w:t xml:space="preserve"> si la phrase commence en fin de vers ou se finit en début de vers. </w:t>
      </w:r>
    </w:p>
    <w:p w:rsidR="00130961" w:rsidRDefault="00130961" w:rsidP="00130961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On parle d’</w:t>
      </w:r>
      <w:r>
        <w:rPr>
          <w:rFonts w:ascii="Cambria" w:hAnsi="Cambria"/>
          <w:b/>
          <w:bCs/>
        </w:rPr>
        <w:t xml:space="preserve">enjambement </w:t>
      </w:r>
      <w:r>
        <w:rPr>
          <w:rFonts w:ascii="Cambria" w:hAnsi="Cambria"/>
        </w:rPr>
        <w:t xml:space="preserve">si la phrase se poursuit sur plusieurs vers entiers.  </w:t>
      </w:r>
    </w:p>
    <w:p w:rsidR="00130961" w:rsidRDefault="00130961" w:rsidP="00130961">
      <w:pPr>
        <w:spacing w:after="0" w:line="240" w:lineRule="auto"/>
        <w:jc w:val="both"/>
        <w:rPr>
          <w:rFonts w:ascii="Cambria" w:hAnsi="Cambria"/>
        </w:rPr>
      </w:pPr>
    </w:p>
    <w:tbl>
      <w:tblPr>
        <w:tblW w:w="102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CellMar>
          <w:left w:w="70" w:type="dxa"/>
          <w:right w:w="70" w:type="dxa"/>
        </w:tblCellMar>
        <w:tblLook w:val="0000"/>
      </w:tblPr>
      <w:tblGrid>
        <w:gridCol w:w="10260"/>
      </w:tblGrid>
      <w:tr w:rsidR="00130961" w:rsidTr="00BA2131">
        <w:tblPrEx>
          <w:tblCellMar>
            <w:top w:w="0" w:type="dxa"/>
            <w:bottom w:w="0" w:type="dxa"/>
          </w:tblCellMar>
        </w:tblPrEx>
        <w:trPr>
          <w:trHeight w:val="1800"/>
        </w:trPr>
        <w:tc>
          <w:tcPr>
            <w:tcW w:w="10260" w:type="dxa"/>
            <w:shd w:val="clear" w:color="auto" w:fill="EEECE1"/>
          </w:tcPr>
          <w:p w:rsidR="00130961" w:rsidRDefault="00130961" w:rsidP="00130961">
            <w:pPr>
              <w:shd w:val="clear" w:color="auto" w:fill="EEECE1"/>
              <w:spacing w:after="0" w:line="240" w:lineRule="auto"/>
              <w:jc w:val="center"/>
              <w:rPr>
                <w:rFonts w:ascii="Cambria" w:hAnsi="Cambria"/>
                <w:i/>
                <w:iCs/>
              </w:rPr>
            </w:pPr>
            <w:r>
              <w:rPr>
                <w:rFonts w:ascii="Cambria" w:hAnsi="Cambria"/>
                <w:i/>
                <w:iCs/>
              </w:rPr>
              <w:t>ATTENTION AU CALCUL DU NOMBRE DE SYLLABES !</w:t>
            </w:r>
          </w:p>
          <w:p w:rsidR="00130961" w:rsidRDefault="00130961" w:rsidP="00130961">
            <w:pPr>
              <w:numPr>
                <w:ilvl w:val="0"/>
                <w:numId w:val="1"/>
              </w:numPr>
              <w:shd w:val="clear" w:color="auto" w:fill="EEECE1"/>
              <w:spacing w:after="0" w:line="240" w:lineRule="auto"/>
              <w:jc w:val="both"/>
              <w:rPr>
                <w:rFonts w:ascii="Cambria" w:hAnsi="Cambria"/>
                <w:b/>
                <w:bCs/>
                <w:u w:val="single"/>
              </w:rPr>
            </w:pPr>
            <w:r>
              <w:rPr>
                <w:rFonts w:ascii="Cambria" w:hAnsi="Cambria"/>
                <w:b/>
                <w:bCs/>
                <w:u w:val="single"/>
              </w:rPr>
              <w:t>Le cas du « e » muet :</w:t>
            </w:r>
          </w:p>
          <w:p w:rsidR="00130961" w:rsidRDefault="00130961" w:rsidP="00130961">
            <w:pPr>
              <w:numPr>
                <w:ilvl w:val="1"/>
                <w:numId w:val="1"/>
              </w:numPr>
              <w:shd w:val="clear" w:color="auto" w:fill="EEECE1"/>
              <w:tabs>
                <w:tab w:val="clear" w:pos="1440"/>
                <w:tab w:val="num" w:pos="900"/>
              </w:tabs>
              <w:spacing w:after="0" w:line="240" w:lineRule="auto"/>
              <w:ind w:left="900" w:hanging="180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 « e » n’est pas compté s’il se trouve en fin de vers (formes -e, -es, -</w:t>
            </w:r>
            <w:proofErr w:type="spellStart"/>
            <w:r>
              <w:rPr>
                <w:rFonts w:ascii="Cambria" w:hAnsi="Cambria"/>
              </w:rPr>
              <w:t>ent</w:t>
            </w:r>
            <w:proofErr w:type="spellEnd"/>
            <w:r>
              <w:rPr>
                <w:rFonts w:ascii="Cambria" w:hAnsi="Cambria"/>
              </w:rPr>
              <w:t xml:space="preserve">…).  </w:t>
            </w:r>
          </w:p>
          <w:p w:rsidR="00130961" w:rsidRDefault="00130961" w:rsidP="00130961">
            <w:pPr>
              <w:numPr>
                <w:ilvl w:val="1"/>
                <w:numId w:val="1"/>
              </w:numPr>
              <w:shd w:val="clear" w:color="auto" w:fill="EEECE1"/>
              <w:tabs>
                <w:tab w:val="clear" w:pos="1440"/>
                <w:tab w:val="num" w:pos="900"/>
              </w:tabs>
              <w:spacing w:after="0" w:line="240" w:lineRule="auto"/>
              <w:ind w:left="900" w:hanging="180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il n’est pas compté devant un mot commençant par une voyelle ou « h » aspiré. </w:t>
            </w:r>
          </w:p>
          <w:p w:rsidR="00130961" w:rsidRDefault="00130961" w:rsidP="00130961">
            <w:pPr>
              <w:numPr>
                <w:ilvl w:val="1"/>
                <w:numId w:val="1"/>
              </w:numPr>
              <w:shd w:val="clear" w:color="auto" w:fill="EEECE1"/>
              <w:tabs>
                <w:tab w:val="clear" w:pos="1440"/>
                <w:tab w:val="num" w:pos="900"/>
              </w:tabs>
              <w:spacing w:after="0" w:line="240" w:lineRule="auto"/>
              <w:ind w:left="900" w:hanging="180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il est compté devant une consonne dans le même vers. </w:t>
            </w:r>
          </w:p>
          <w:p w:rsidR="00130961" w:rsidRDefault="00130961" w:rsidP="00130961">
            <w:pPr>
              <w:numPr>
                <w:ilvl w:val="0"/>
                <w:numId w:val="1"/>
              </w:numPr>
              <w:shd w:val="clear" w:color="auto" w:fill="EEECE1"/>
              <w:spacing w:after="0"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b/>
                <w:bCs/>
                <w:u w:val="single"/>
              </w:rPr>
              <w:t>Le cas de la diphtongue :</w:t>
            </w:r>
            <w:r>
              <w:rPr>
                <w:rFonts w:ascii="Cambria" w:hAnsi="Cambria"/>
              </w:rPr>
              <w:t xml:space="preserve"> Lorsque deux sons de voyelle se suivent (=diphtongue), il faut parfois compter deux syllabes (=diérèse) et parfois une syllabe (=synérèse). « Lion » peut s’entendre en une ou en deux syllabes « Li/on » =                   , « Lion » =                       ).  </w:t>
            </w:r>
          </w:p>
        </w:tc>
      </w:tr>
    </w:tbl>
    <w:p w:rsidR="00130961" w:rsidRDefault="00130961" w:rsidP="00130961">
      <w:pPr>
        <w:shd w:val="clear" w:color="auto" w:fill="FFFFFF"/>
        <w:spacing w:after="0" w:line="240" w:lineRule="auto"/>
        <w:jc w:val="both"/>
        <w:rPr>
          <w:rFonts w:ascii="Cambria" w:hAnsi="Cambria"/>
        </w:rPr>
      </w:pPr>
    </w:p>
    <w:p w:rsidR="00130961" w:rsidRDefault="00130961" w:rsidP="00130961">
      <w:pPr>
        <w:spacing w:after="0" w:line="240" w:lineRule="auto"/>
        <w:jc w:val="both"/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3. DISPOSITION DES RIMES :</w:t>
      </w:r>
    </w:p>
    <w:p w:rsidR="00130961" w:rsidRDefault="00130961" w:rsidP="00130961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Une rime est la reprise d’un ou plusieurs sons en fin de vers. </w:t>
      </w:r>
    </w:p>
    <w:p w:rsidR="00130961" w:rsidRDefault="00130961" w:rsidP="00130961">
      <w:pPr>
        <w:spacing w:after="0" w:line="240" w:lineRule="auto"/>
        <w:jc w:val="both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Rimes suivies (= plates), embrassées ou croisées :</w:t>
      </w:r>
    </w:p>
    <w:p w:rsidR="00130961" w:rsidRDefault="00130961" w:rsidP="00130961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  <w:b/>
          <w:bCs/>
        </w:rPr>
        <w:t>suivies</w:t>
      </w:r>
      <w:r>
        <w:rPr>
          <w:rFonts w:ascii="Cambria" w:hAnsi="Cambria"/>
        </w:rPr>
        <w:t xml:space="preserve"> = selon le schéma AABB.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 w:rsidR="00130961" w:rsidRDefault="00130961" w:rsidP="00130961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  <w:b/>
          <w:bCs/>
        </w:rPr>
        <w:t>embrassées</w:t>
      </w:r>
      <w:r>
        <w:rPr>
          <w:rFonts w:ascii="Cambria" w:hAnsi="Cambria"/>
        </w:rPr>
        <w:t xml:space="preserve"> = ABBA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 w:rsidR="00130961" w:rsidRDefault="00130961" w:rsidP="00130961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  <w:b/>
          <w:bCs/>
        </w:rPr>
        <w:t>croisées</w:t>
      </w:r>
      <w:r>
        <w:rPr>
          <w:rFonts w:ascii="Cambria" w:hAnsi="Cambria"/>
        </w:rPr>
        <w:t xml:space="preserve"> = ABAB</w:t>
      </w:r>
    </w:p>
    <w:p w:rsidR="00130961" w:rsidRDefault="00130961" w:rsidP="00130961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Il peut aussi y avoir des rimes</w:t>
      </w:r>
      <w:r>
        <w:rPr>
          <w:rFonts w:ascii="Cambria" w:hAnsi="Cambria"/>
          <w:b/>
          <w:bCs/>
        </w:rPr>
        <w:t xml:space="preserve"> intérieures</w:t>
      </w:r>
      <w:r>
        <w:rPr>
          <w:rFonts w:ascii="Cambria" w:hAnsi="Cambria"/>
        </w:rPr>
        <w:t xml:space="preserve"> (dans un même vers)</w:t>
      </w:r>
      <w:proofErr w:type="gramStart"/>
      <w:r>
        <w:rPr>
          <w:rFonts w:ascii="Cambria" w:hAnsi="Cambria"/>
        </w:rPr>
        <w:t>.:</w:t>
      </w:r>
      <w:proofErr w:type="gramEnd"/>
    </w:p>
    <w:p w:rsidR="00130961" w:rsidRDefault="00130961" w:rsidP="00130961">
      <w:pPr>
        <w:spacing w:after="0" w:line="240" w:lineRule="auto"/>
        <w:jc w:val="both"/>
        <w:rPr>
          <w:rFonts w:ascii="Cambria" w:hAnsi="Cambria"/>
        </w:rPr>
      </w:pPr>
    </w:p>
    <w:p w:rsidR="00130961" w:rsidRDefault="00130961" w:rsidP="00130961">
      <w:pPr>
        <w:spacing w:after="0" w:line="240" w:lineRule="auto"/>
        <w:jc w:val="both"/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4. LES JEUX DE SONORITES sont liés à ce que dit et signifie le poème :</w:t>
      </w:r>
    </w:p>
    <w:p w:rsidR="00130961" w:rsidRDefault="00130961" w:rsidP="00130961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A. L’</w:t>
      </w:r>
      <w:r>
        <w:rPr>
          <w:rFonts w:ascii="Cambria" w:hAnsi="Cambria"/>
          <w:b/>
          <w:bCs/>
        </w:rPr>
        <w:t>onomatopée</w:t>
      </w:r>
      <w:r>
        <w:rPr>
          <w:rFonts w:ascii="Cambria" w:hAnsi="Cambria"/>
        </w:rPr>
        <w:t xml:space="preserve"> est un mot dont le son imite l’objet représenté. </w:t>
      </w:r>
    </w:p>
    <w:p w:rsidR="00130961" w:rsidRDefault="00130961" w:rsidP="00130961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B. L’</w:t>
      </w:r>
      <w:r>
        <w:rPr>
          <w:rFonts w:ascii="Cambria" w:hAnsi="Cambria"/>
          <w:b/>
          <w:bCs/>
        </w:rPr>
        <w:t>allitération</w:t>
      </w:r>
      <w:r>
        <w:rPr>
          <w:rFonts w:ascii="Cambria" w:hAnsi="Cambria"/>
        </w:rPr>
        <w:t xml:space="preserve"> est la répétition d’un même son consonne. </w:t>
      </w:r>
    </w:p>
    <w:p w:rsidR="00130961" w:rsidRDefault="00130961" w:rsidP="00130961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C. L’</w:t>
      </w:r>
      <w:r>
        <w:rPr>
          <w:rFonts w:ascii="Cambria" w:hAnsi="Cambria"/>
          <w:b/>
          <w:bCs/>
        </w:rPr>
        <w:t>assonance</w:t>
      </w:r>
      <w:r>
        <w:rPr>
          <w:rFonts w:ascii="Cambria" w:hAnsi="Cambria"/>
        </w:rPr>
        <w:t xml:space="preserve"> est la répétition d’un même son voyelle.  </w:t>
      </w:r>
    </w:p>
    <w:p w:rsidR="00130961" w:rsidRDefault="00130961" w:rsidP="00130961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D. L’</w:t>
      </w:r>
      <w:r>
        <w:rPr>
          <w:rFonts w:ascii="Cambria" w:hAnsi="Cambria"/>
          <w:b/>
        </w:rPr>
        <w:t>anaphore</w:t>
      </w:r>
      <w:r>
        <w:rPr>
          <w:rFonts w:ascii="Cambria" w:hAnsi="Cambria"/>
        </w:rPr>
        <w:t xml:space="preserve"> est la répétition d’un même mot ou groupe de mots en début de phrase ou de vers.  </w:t>
      </w:r>
    </w:p>
    <w:p w:rsidR="00130961" w:rsidRDefault="00130961" w:rsidP="00130961">
      <w:pPr>
        <w:spacing w:after="0" w:line="240" w:lineRule="auto"/>
        <w:jc w:val="both"/>
        <w:rPr>
          <w:rFonts w:ascii="Cambria" w:hAnsi="Cambria"/>
        </w:rPr>
      </w:pPr>
    </w:p>
    <w:p w:rsidR="00130961" w:rsidRDefault="00130961" w:rsidP="00130961">
      <w:pPr>
        <w:numPr>
          <w:ilvl w:val="0"/>
          <w:numId w:val="2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Pour les figures de style, voir </w:t>
      </w:r>
      <w:r>
        <w:rPr>
          <w:rFonts w:ascii="Cambria" w:hAnsi="Cambria"/>
          <w:i/>
        </w:rPr>
        <w:t>Mon cahier de français</w:t>
      </w:r>
      <w:r>
        <w:rPr>
          <w:rFonts w:ascii="Cambria" w:hAnsi="Cambria"/>
        </w:rPr>
        <w:t>, p. 130 à 133.</w:t>
      </w:r>
    </w:p>
    <w:p w:rsidR="00130961" w:rsidRDefault="00130961">
      <w:r>
        <w:br w:type="page"/>
      </w:r>
    </w:p>
    <w:tbl>
      <w:tblPr>
        <w:tblStyle w:val="Grilledutableau"/>
        <w:tblW w:w="0" w:type="auto"/>
        <w:shd w:val="clear" w:color="auto" w:fill="EAF1DD" w:themeFill="accent3" w:themeFillTint="33"/>
        <w:tblLook w:val="04A0"/>
      </w:tblPr>
      <w:tblGrid>
        <w:gridCol w:w="10606"/>
      </w:tblGrid>
      <w:tr w:rsidR="00130961" w:rsidRPr="00D54D9B" w:rsidTr="00BA2131">
        <w:tc>
          <w:tcPr>
            <w:tcW w:w="10606" w:type="dxa"/>
            <w:shd w:val="clear" w:color="auto" w:fill="EAF1DD" w:themeFill="accent3" w:themeFillTint="33"/>
          </w:tcPr>
          <w:p w:rsidR="00130961" w:rsidRPr="00D54D9B" w:rsidRDefault="00130961" w:rsidP="00BA2131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lastRenderedPageBreak/>
              <w:t>S3</w:t>
            </w:r>
            <w:r w:rsidRPr="00D54D9B">
              <w:rPr>
                <w:rFonts w:ascii="Verdana" w:hAnsi="Verdana"/>
                <w:b/>
                <w:sz w:val="24"/>
                <w:szCs w:val="24"/>
              </w:rPr>
              <w:t xml:space="preserve"> – Le vocabulaire du théâtre :</w:t>
            </w:r>
          </w:p>
        </w:tc>
      </w:tr>
    </w:tbl>
    <w:p w:rsidR="00130961" w:rsidRDefault="00130961" w:rsidP="00130961">
      <w:pPr>
        <w:spacing w:after="0" w:line="360" w:lineRule="auto"/>
        <w:rPr>
          <w:rFonts w:ascii="Verdana" w:hAnsi="Verdana"/>
          <w:sz w:val="24"/>
          <w:szCs w:val="24"/>
        </w:rPr>
      </w:pPr>
    </w:p>
    <w:p w:rsidR="00130961" w:rsidRPr="007D394A" w:rsidRDefault="00130961" w:rsidP="00130961">
      <w:pPr>
        <w:pStyle w:val="Corpsdetexte21"/>
        <w:spacing w:line="360" w:lineRule="auto"/>
        <w:rPr>
          <w:rFonts w:ascii="Verdana" w:hAnsi="Verdana"/>
        </w:rPr>
      </w:pPr>
      <w:r w:rsidRPr="007D394A">
        <w:rPr>
          <w:rFonts w:ascii="Verdana" w:hAnsi="Verdana"/>
        </w:rPr>
        <w:t xml:space="preserve">Voici plusieurs définitions du vocabulaire théâtral. A quelle expression de la liste ci-dessous, associez-vous chaque définition ? </w:t>
      </w:r>
    </w:p>
    <w:p w:rsidR="00130961" w:rsidRPr="007D394A" w:rsidRDefault="00130961" w:rsidP="00130961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:rsidR="00130961" w:rsidRPr="007D394A" w:rsidRDefault="00130961" w:rsidP="00130961">
      <w:pPr>
        <w:pStyle w:val="Titre1"/>
        <w:numPr>
          <w:ilvl w:val="0"/>
          <w:numId w:val="3"/>
        </w:numPr>
        <w:spacing w:line="360" w:lineRule="auto"/>
        <w:ind w:left="0"/>
        <w:rPr>
          <w:rFonts w:ascii="Verdana" w:hAnsi="Verdana"/>
        </w:rPr>
      </w:pPr>
      <w:r w:rsidRPr="007D394A">
        <w:rPr>
          <w:rFonts w:ascii="Verdana" w:hAnsi="Verdana"/>
        </w:rPr>
        <w:t>Liste des expressions</w:t>
      </w:r>
    </w:p>
    <w:p w:rsidR="00130961" w:rsidRPr="007D394A" w:rsidRDefault="00130961" w:rsidP="0013096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 xml:space="preserve">Acte, aparté, intrigue, monologue, réplique, scène, dialogue, dénouement, nœud de l’action, stichomythies, tirade. </w:t>
      </w:r>
    </w:p>
    <w:p w:rsidR="00130961" w:rsidRDefault="00130961" w:rsidP="00130961">
      <w:pPr>
        <w:pStyle w:val="Titre1"/>
        <w:numPr>
          <w:ilvl w:val="0"/>
          <w:numId w:val="3"/>
        </w:numPr>
        <w:spacing w:line="360" w:lineRule="auto"/>
        <w:ind w:left="0"/>
        <w:rPr>
          <w:rFonts w:ascii="Verdana" w:hAnsi="Verdana"/>
        </w:rPr>
      </w:pPr>
    </w:p>
    <w:p w:rsidR="00130961" w:rsidRDefault="00130961" w:rsidP="00130961">
      <w:pPr>
        <w:pStyle w:val="Titre1"/>
        <w:numPr>
          <w:ilvl w:val="0"/>
          <w:numId w:val="3"/>
        </w:numPr>
        <w:spacing w:line="360" w:lineRule="auto"/>
        <w:ind w:left="0"/>
        <w:rPr>
          <w:rFonts w:ascii="Verdana" w:hAnsi="Verdana"/>
        </w:rPr>
      </w:pPr>
      <w:r w:rsidRPr="007D394A">
        <w:rPr>
          <w:rFonts w:ascii="Verdana" w:hAnsi="Verdana"/>
        </w:rPr>
        <w:t>Définitions</w:t>
      </w:r>
      <w:r>
        <w:rPr>
          <w:rFonts w:ascii="Verdana" w:hAnsi="Verdana"/>
        </w:rPr>
        <w:t xml:space="preserve"> : </w:t>
      </w:r>
    </w:p>
    <w:p w:rsidR="00130961" w:rsidRPr="00E1448B" w:rsidRDefault="00130961" w:rsidP="00130961">
      <w:pPr>
        <w:rPr>
          <w:lang w:eastAsia="ar-SA"/>
        </w:rPr>
      </w:pPr>
    </w:p>
    <w:p w:rsidR="00130961" w:rsidRPr="007D394A" w:rsidRDefault="00130961" w:rsidP="00130961">
      <w:pPr>
        <w:numPr>
          <w:ilvl w:val="0"/>
          <w:numId w:val="4"/>
        </w:numPr>
        <w:suppressAutoHyphens/>
        <w:spacing w:after="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 xml:space="preserve">______________ : </w:t>
      </w:r>
      <w:proofErr w:type="spellStart"/>
      <w:r w:rsidRPr="007D394A">
        <w:rPr>
          <w:rFonts w:ascii="Verdana" w:hAnsi="Verdana"/>
          <w:sz w:val="24"/>
          <w:szCs w:val="24"/>
        </w:rPr>
        <w:t>n.f</w:t>
      </w:r>
      <w:proofErr w:type="spellEnd"/>
      <w:r w:rsidRPr="007D394A">
        <w:rPr>
          <w:rFonts w:ascii="Verdana" w:hAnsi="Verdana"/>
          <w:sz w:val="24"/>
          <w:szCs w:val="24"/>
        </w:rPr>
        <w:t>. – Partie, division d’un acte qui correspond le plus souvent à l’entrée ou à la sortie d’un personnage.</w:t>
      </w:r>
    </w:p>
    <w:p w:rsidR="00130961" w:rsidRPr="007D394A" w:rsidRDefault="00130961" w:rsidP="00130961">
      <w:pPr>
        <w:numPr>
          <w:ilvl w:val="0"/>
          <w:numId w:val="4"/>
        </w:numPr>
        <w:suppressAutoHyphens/>
        <w:spacing w:after="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>______________ : n.m. – Dans une pièce de théâtre, scène à un personnage qui parle seul.</w:t>
      </w:r>
    </w:p>
    <w:p w:rsidR="00130961" w:rsidRPr="007D394A" w:rsidRDefault="00130961" w:rsidP="00130961">
      <w:pPr>
        <w:numPr>
          <w:ilvl w:val="0"/>
          <w:numId w:val="4"/>
        </w:numPr>
        <w:suppressAutoHyphens/>
        <w:spacing w:after="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 xml:space="preserve">______________ : </w:t>
      </w:r>
      <w:proofErr w:type="spellStart"/>
      <w:r w:rsidRPr="007D394A">
        <w:rPr>
          <w:rFonts w:ascii="Verdana" w:hAnsi="Verdana"/>
          <w:sz w:val="24"/>
          <w:szCs w:val="24"/>
        </w:rPr>
        <w:t>n.f</w:t>
      </w:r>
      <w:proofErr w:type="spellEnd"/>
      <w:r w:rsidRPr="007D394A">
        <w:rPr>
          <w:rFonts w:ascii="Verdana" w:hAnsi="Verdana"/>
          <w:sz w:val="24"/>
          <w:szCs w:val="24"/>
        </w:rPr>
        <w:t>. – Ensemble des événements qui constituent l’histoire et qui peut se résumer en quelques lignes.</w:t>
      </w:r>
    </w:p>
    <w:p w:rsidR="00130961" w:rsidRPr="007D394A" w:rsidRDefault="00130961" w:rsidP="00130961">
      <w:pPr>
        <w:numPr>
          <w:ilvl w:val="0"/>
          <w:numId w:val="4"/>
        </w:numPr>
        <w:suppressAutoHyphens/>
        <w:spacing w:after="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 xml:space="preserve">______________ : n. f. </w:t>
      </w:r>
      <w:proofErr w:type="spellStart"/>
      <w:r w:rsidRPr="007D394A">
        <w:rPr>
          <w:rFonts w:ascii="Verdana" w:hAnsi="Verdana"/>
          <w:sz w:val="24"/>
          <w:szCs w:val="24"/>
        </w:rPr>
        <w:t>pl</w:t>
      </w:r>
      <w:proofErr w:type="spellEnd"/>
      <w:r w:rsidRPr="007D394A">
        <w:rPr>
          <w:rFonts w:ascii="Verdana" w:hAnsi="Verdana"/>
          <w:sz w:val="24"/>
          <w:szCs w:val="24"/>
        </w:rPr>
        <w:t xml:space="preserve"> - Echange de répliques courtes et vives (de la longueur d’un vers ou moins)</w:t>
      </w:r>
    </w:p>
    <w:p w:rsidR="00130961" w:rsidRPr="007D394A" w:rsidRDefault="00130961" w:rsidP="00130961">
      <w:pPr>
        <w:numPr>
          <w:ilvl w:val="0"/>
          <w:numId w:val="4"/>
        </w:numPr>
        <w:suppressAutoHyphens/>
        <w:spacing w:after="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 xml:space="preserve">______________ : </w:t>
      </w:r>
      <w:proofErr w:type="spellStart"/>
      <w:r w:rsidRPr="007D394A">
        <w:rPr>
          <w:rFonts w:ascii="Verdana" w:hAnsi="Verdana"/>
          <w:sz w:val="24"/>
          <w:szCs w:val="24"/>
        </w:rPr>
        <w:t>n.f</w:t>
      </w:r>
      <w:proofErr w:type="spellEnd"/>
      <w:r w:rsidRPr="007D394A">
        <w:rPr>
          <w:rFonts w:ascii="Verdana" w:hAnsi="Verdana"/>
          <w:sz w:val="24"/>
          <w:szCs w:val="24"/>
        </w:rPr>
        <w:t>. – prise de parle d’un comédien</w:t>
      </w:r>
    </w:p>
    <w:p w:rsidR="00130961" w:rsidRPr="007D394A" w:rsidRDefault="00130961" w:rsidP="00130961">
      <w:pPr>
        <w:numPr>
          <w:ilvl w:val="0"/>
          <w:numId w:val="4"/>
        </w:numPr>
        <w:suppressAutoHyphens/>
        <w:spacing w:after="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>______________ : n.m. – Chacune des grandes divisions d’une pièce de théâtre.</w:t>
      </w:r>
    </w:p>
    <w:p w:rsidR="00130961" w:rsidRPr="007D394A" w:rsidRDefault="00130961" w:rsidP="00130961">
      <w:pPr>
        <w:numPr>
          <w:ilvl w:val="0"/>
          <w:numId w:val="4"/>
        </w:numPr>
        <w:suppressAutoHyphens/>
        <w:spacing w:after="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>______________ : n.m. – Péripétie ou suite de péripéties qui amènent l’action à son point culminant.</w:t>
      </w:r>
    </w:p>
    <w:p w:rsidR="00130961" w:rsidRPr="007D394A" w:rsidRDefault="00130961" w:rsidP="00130961">
      <w:pPr>
        <w:numPr>
          <w:ilvl w:val="0"/>
          <w:numId w:val="4"/>
        </w:numPr>
        <w:suppressAutoHyphens/>
        <w:spacing w:after="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>______________ : n.m. – Mot ou parole que l’acteur dit à part et que le spectateur seul est censé entendre.</w:t>
      </w:r>
    </w:p>
    <w:p w:rsidR="00130961" w:rsidRPr="007D394A" w:rsidRDefault="00130961" w:rsidP="00130961">
      <w:pPr>
        <w:numPr>
          <w:ilvl w:val="0"/>
          <w:numId w:val="4"/>
        </w:numPr>
        <w:suppressAutoHyphens/>
        <w:spacing w:after="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>______________ : n.m. – Ce qui termine une action au théâtre et résolution du conflit.</w:t>
      </w:r>
    </w:p>
    <w:p w:rsidR="00130961" w:rsidRPr="007D394A" w:rsidRDefault="00130961" w:rsidP="00130961">
      <w:pPr>
        <w:numPr>
          <w:ilvl w:val="0"/>
          <w:numId w:val="4"/>
        </w:numPr>
        <w:suppressAutoHyphens/>
        <w:spacing w:after="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>______________ : n. f - Longue réplique prononcée devant un ou plusieurs personnages.</w:t>
      </w:r>
    </w:p>
    <w:p w:rsidR="00130961" w:rsidRPr="007D394A" w:rsidRDefault="00130961" w:rsidP="00130961">
      <w:pPr>
        <w:numPr>
          <w:ilvl w:val="0"/>
          <w:numId w:val="4"/>
        </w:numPr>
        <w:suppressAutoHyphens/>
        <w:spacing w:after="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7D394A">
        <w:rPr>
          <w:rFonts w:ascii="Verdana" w:hAnsi="Verdana"/>
          <w:sz w:val="24"/>
          <w:szCs w:val="24"/>
        </w:rPr>
        <w:t xml:space="preserve">______________ : n. m - Echange entre deux ou plusieurs personnages, composé de répliques, de tirades, voire d’apartés ou de stichomythies. </w:t>
      </w:r>
    </w:p>
    <w:p w:rsidR="00130961" w:rsidRDefault="00130961" w:rsidP="00130961">
      <w:pPr>
        <w:spacing w:after="0" w:line="240" w:lineRule="auto"/>
      </w:pPr>
    </w:p>
    <w:sectPr w:rsidR="00130961" w:rsidSect="001309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-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Obliq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927"/>
        </w:tabs>
        <w:ind w:left="907" w:hanging="340"/>
      </w:pPr>
    </w:lvl>
  </w:abstractNum>
  <w:abstractNum w:abstractNumId="2">
    <w:nsid w:val="2DE13EAE"/>
    <w:multiLevelType w:val="hybridMultilevel"/>
    <w:tmpl w:val="0284C560"/>
    <w:lvl w:ilvl="0" w:tplc="B694EB06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FE2CE4"/>
    <w:multiLevelType w:val="hybridMultilevel"/>
    <w:tmpl w:val="708ACFA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B90ED35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30961"/>
    <w:rsid w:val="00130961"/>
    <w:rsid w:val="00EC2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F70"/>
  </w:style>
  <w:style w:type="paragraph" w:styleId="Titre1">
    <w:name w:val="heading 1"/>
    <w:basedOn w:val="Normal"/>
    <w:next w:val="Normal"/>
    <w:link w:val="Titre1Car"/>
    <w:qFormat/>
    <w:rsid w:val="00130961"/>
    <w:pPr>
      <w:keepNext/>
      <w:suppressAutoHyphens/>
      <w:spacing w:after="0" w:line="240" w:lineRule="auto"/>
      <w:ind w:left="720" w:hanging="360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3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0961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130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re">
    <w:name w:val="Title"/>
    <w:basedOn w:val="Normal"/>
    <w:link w:val="TitreCar"/>
    <w:qFormat/>
    <w:rsid w:val="0013096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customStyle="1" w:styleId="TitreCar">
    <w:name w:val="Titre Car"/>
    <w:basedOn w:val="Policepardfaut"/>
    <w:link w:val="Titre"/>
    <w:rsid w:val="00130961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rsid w:val="00130961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paragraph" w:customStyle="1" w:styleId="Corpsdetexte21">
    <w:name w:val="Corps de texte 21"/>
    <w:basedOn w:val="Normal"/>
    <w:rsid w:val="001309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739</Words>
  <Characters>4069</Characters>
  <Application>Microsoft Office Word</Application>
  <DocSecurity>0</DocSecurity>
  <Lines>33</Lines>
  <Paragraphs>9</Paragraphs>
  <ScaleCrop>false</ScaleCrop>
  <Company/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Sébastien</dc:creator>
  <cp:keywords/>
  <dc:description/>
  <cp:lastModifiedBy>Sébastien</cp:lastModifiedBy>
  <cp:revision>2</cp:revision>
  <dcterms:created xsi:type="dcterms:W3CDTF">2021-04-05T12:03:00Z</dcterms:created>
  <dcterms:modified xsi:type="dcterms:W3CDTF">2021-04-05T12:12:00Z</dcterms:modified>
</cp:coreProperties>
</file>